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14523 &amp; 14527 Budlong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Gardena,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12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July 2018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December 2019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14.14%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$353,419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12-unit, two-parcel acquisition in Gardena — VWC stepping outside its core Orange County footprint into the South Bay. The combined parcels offered scale (two adjacent buildings, single ownership economics) at a sub-institutional price point.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Renovate both parcels in parallel, push rents across all 12 units, sell as a packaged transaction. CapEx of $310K covered the program. Seventeen-month hold from acquisition to disposition.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$3,490,000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$1,740,000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$291,000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41%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$309,961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$2,498,981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$4,238,981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$4,592,400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17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$383,000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Demonstrates discipline on geography — VWC will leave the home market when the deal economics warrant it, but the unit-level value-add playbook stays the same. Two-parcel deals offer a packaging premium at exit that single-parcel comparable assets don't.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6rthgsno7kohisriche_w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6rthgsno7kohisriche_w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14523 &amp; 14527 Budlong — Case Study</dc:title>
  <dc:creator>VisionWise Capital</dc:creator>
  <dc:description>VWC Case Study: 14523 &amp; 14527 Budlong, Gardena, CA</dc:description>
  <cp:lastModifiedBy>Un-named</cp:lastModifiedBy>
  <cp:revision>1</cp:revision>
  <dcterms:created xsi:type="dcterms:W3CDTF">2026-04-25T21:19:03.534Z</dcterms:created>
  <dcterms:modified xsi:type="dcterms:W3CDTF">2026-04-25T21:19:03.534Z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