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20"/>
      </w:pPr>
      <w:r>
        <w:rPr>
          <w:rFonts w:ascii="Lato" w:cs="Lato" w:eastAsia="Lato" w:hAnsi="Lato"/>
          <w:b/>
          <w:bCs/>
          <w:i w:val="false"/>
          <w:iCs w:val="false"/>
          <w:color w:val="666B70"/>
          <w:sz w:val="16"/>
          <w:szCs w:val="16"/>
        </w:rPr>
        <w:t xml:space="preserve">CASE STUDY</w:t>
      </w:r>
      <w:r>
        <w:rPr>
          <w:rFonts w:ascii="Lato" w:cs="Lato" w:eastAsia="Lato" w:hAnsi="Lato"/>
          <w:b w:val="false"/>
          <w:bCs w:val="false"/>
          <w:i w:val="false"/>
          <w:iCs w:val="false"/>
          <w:color w:val="8A8F94"/>
          <w:sz w:val="16"/>
          <w:szCs w:val="16"/>
        </w:rPr>
        <w:t xml:space="preserve">   ·   </w:t>
      </w:r>
      <w:r>
        <w:rPr>
          <w:rFonts w:ascii="Lato" w:cs="Lato" w:eastAsia="Lato" w:hAnsi="Lato"/>
          <w:b/>
          <w:bCs/>
          <w:i w:val="false"/>
          <w:iCs w:val="false"/>
          <w:color w:val="666B70"/>
          <w:sz w:val="16"/>
          <w:szCs w:val="16"/>
        </w:rPr>
        <w:t xml:space="preserve">STABILIZED</w:t>
      </w:r>
    </w:p>
    <w:p>
      <w:pPr>
        <w:spacing w:before="0" w:after="20" w:line="280"/>
      </w:pPr>
      <w:r>
        <w:rPr>
          <w:rFonts w:ascii="Lato" w:cs="Lato" w:eastAsia="Lato" w:hAnsi="Lato"/>
          <w:b/>
          <w:bCs/>
          <w:i w:val="false"/>
          <w:iCs w:val="false"/>
          <w:color w:val="40464B"/>
          <w:sz w:val="44"/>
          <w:szCs w:val="44"/>
        </w:rPr>
        <w:t xml:space="preserve">374 Cypress Drive</w:t>
      </w:r>
    </w:p>
    <w:p>
      <w:pPr>
        <w:spacing w:before="0" w:after="80"/>
      </w:pPr>
      <w:r>
        <w:rPr>
          <w:rFonts w:ascii="Open Sans" w:cs="Open Sans" w:eastAsia="Open Sans" w:hAnsi="Open Sans"/>
          <w:b w:val="false"/>
          <w:bCs w:val="false"/>
          <w:i w:val="false"/>
          <w:iCs w:val="false"/>
          <w:color w:val="666B70"/>
          <w:sz w:val="20"/>
          <w:szCs w:val="20"/>
        </w:rPr>
        <w:t xml:space="preserve">Laguna Beach, CA — Cypress Garden Apartments</w:t>
      </w:r>
      <w:r>
        <w:rPr>
          <w:rFonts w:ascii="Open Sans" w:cs="Open Sans" w:eastAsia="Open Sans" w:hAnsi="Open Sans"/>
          <w:b w:val="false"/>
          <w:bCs w:val="false"/>
          <w:i w:val="false"/>
          <w:iCs w:val="false"/>
          <w:color w:val="8A8F94"/>
          <w:sz w:val="20"/>
          <w:szCs w:val="20"/>
        </w:rPr>
        <w:t xml:space="preserve">   ·   </w:t>
      </w:r>
      <w:r>
        <w:rPr>
          <w:rFonts w:ascii="Open Sans" w:cs="Open Sans" w:eastAsia="Open Sans" w:hAnsi="Open Sans"/>
          <w:b w:val="false"/>
          <w:bCs w:val="false"/>
          <w:i w:val="false"/>
          <w:iCs w:val="false"/>
          <w:color w:val="666B70"/>
          <w:sz w:val="20"/>
          <w:szCs w:val="20"/>
        </w:rPr>
        <w:t xml:space="preserve">10 units</w:t>
      </w:r>
      <w:r>
        <w:rPr>
          <w:rFonts w:ascii="Open Sans" w:cs="Open Sans" w:eastAsia="Open Sans" w:hAnsi="Open Sans"/>
          <w:b w:val="false"/>
          <w:bCs w:val="false"/>
          <w:i w:val="false"/>
          <w:iCs w:val="false"/>
          <w:color w:val="8A8F94"/>
          <w:sz w:val="20"/>
          <w:szCs w:val="20"/>
        </w:rPr>
        <w:t xml:space="preserve">   ·   </w:t>
      </w:r>
      <w:r>
        <w:rPr>
          <w:rFonts w:ascii="Open Sans" w:cs="Open Sans" w:eastAsia="Open Sans" w:hAnsi="Open Sans"/>
          <w:b w:val="false"/>
          <w:bCs w:val="false"/>
          <w:i w:val="false"/>
          <w:iCs w:val="false"/>
          <w:color w:val="666B70"/>
          <w:sz w:val="20"/>
          <w:szCs w:val="20"/>
        </w:rPr>
        <w:t xml:space="preserve">Acquired September 2020</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112"/>
        <w:gridCol w:w="5112"/>
      </w:tblGrid>
      <w:tr>
        <w:tc>
          <w:tcPr>
            <w:tcW w:type="dxa" w:w="5112"/>
            <w:tcBorders>
              <w:top w:val="none"/>
              <w:left w:val="none"/>
              <w:bottom w:val="none"/>
              <w:right w:val="none"/>
            </w:tcBorders>
            <w:shd w:fill="DAF0BC" w:color="auto" w:val="clear"/>
            <w:tcMar>
              <w:top w:type="dxa" w:w="80"/>
              <w:left w:type="dxa" w:w="140"/>
              <w:bottom w:type="dxa" w:w="80"/>
              <w:right w:type="dxa" w:w="140"/>
            </w:tcMar>
            <w:vAlign w:val="center"/>
          </w:tcPr>
          <w:p>
            <w:pPr>
              <w:spacing w:before="40" w:after="0"/>
            </w:pPr>
            <w:r>
              <w:rPr>
                <w:rFonts w:ascii="Lato" w:cs="Lato" w:eastAsia="Lato" w:hAnsi="Lato"/>
                <w:b/>
                <w:bCs/>
                <w:i w:val="false"/>
                <w:iCs w:val="false"/>
                <w:color w:val="666B70"/>
                <w:sz w:val="16"/>
                <w:szCs w:val="16"/>
              </w:rPr>
              <w:t xml:space="preserve">EST. LEVERED RETURN</w:t>
            </w:r>
          </w:p>
          <w:p>
            <w:pPr>
              <w:spacing w:before="0" w:after="20"/>
            </w:pPr>
            <w:r>
              <w:rPr>
                <w:rFonts w:ascii="Lato" w:cs="Lato" w:eastAsia="Lato" w:hAnsi="Lato"/>
                <w:b/>
                <w:bCs/>
                <w:i w:val="false"/>
                <w:iCs w:val="false"/>
                <w:color w:val="5C9627"/>
                <w:sz w:val="52"/>
                <w:szCs w:val="52"/>
              </w:rPr>
              <w:t xml:space="preserve">72.30%</w:t>
            </w:r>
          </w:p>
        </w:tc>
        <w:tc>
          <w:tcPr>
            <w:tcW w:type="dxa" w:w="5112"/>
            <w:tcBorders>
              <w:top w:val="none"/>
              <w:left w:val="none"/>
              <w:bottom w:val="none"/>
              <w:right w:val="none"/>
            </w:tcBorders>
            <w:shd w:fill="DAF0BC" w:color="auto" w:val="clear"/>
            <w:tcMar>
              <w:top w:type="dxa" w:w="80"/>
              <w:left w:type="dxa" w:w="140"/>
              <w:bottom w:type="dxa" w:w="80"/>
              <w:right w:type="dxa" w:w="140"/>
            </w:tcMar>
            <w:vAlign w:val="center"/>
          </w:tcPr>
          <w:p>
            <w:pPr>
              <w:spacing w:before="40" w:after="0"/>
            </w:pPr>
            <w:r>
              <w:rPr>
                <w:rFonts w:ascii="Lato" w:cs="Lato" w:eastAsia="Lato" w:hAnsi="Lato"/>
                <w:b/>
                <w:bCs/>
                <w:i w:val="false"/>
                <w:iCs w:val="false"/>
                <w:color w:val="666B70"/>
                <w:sz w:val="16"/>
                <w:szCs w:val="16"/>
              </w:rPr>
              <w:t xml:space="preserve">ESTIMATED PROFIT</w:t>
            </w:r>
          </w:p>
          <w:p>
            <w:pPr>
              <w:spacing w:before="0" w:after="20"/>
            </w:pPr>
            <w:r>
              <w:rPr>
                <w:rFonts w:ascii="Lato" w:cs="Lato" w:eastAsia="Lato" w:hAnsi="Lato"/>
                <w:b/>
                <w:bCs/>
                <w:i w:val="false"/>
                <w:iCs w:val="false"/>
                <w:color w:val="5C9627"/>
                <w:sz w:val="52"/>
                <w:szCs w:val="52"/>
              </w:rPr>
              <w:t xml:space="preserve">$1,585,251</w:t>
            </w:r>
          </w:p>
        </w:tc>
      </w:tr>
    </w:tbl>
    <w:p>
      <w:pPr>
        <w:pBdr>
          <w:bottom w:val="single" w:color="A3D55D" w:sz="8"/>
        </w:pBdr>
        <w:spacing w:before="140" w:after="40"/>
      </w:pPr>
      <w:r>
        <w:rPr>
          <w:rFonts w:ascii="Lato" w:cs="Lato" w:eastAsia="Lato" w:hAnsi="Lato"/>
          <w:b/>
          <w:bCs/>
          <w:color w:val="40464B"/>
          <w:sz w:val="20"/>
          <w:szCs w:val="20"/>
        </w:rPr>
        <w:t xml:space="preserve">THE OPPORTUNITY</w:t>
      </w:r>
    </w:p>
    <w:p>
      <w:pPr>
        <w:spacing w:before="40" w:after="40" w:line="280"/>
      </w:pPr>
      <w:r>
        <w:rPr>
          <w:rFonts w:ascii="Open Sans" w:cs="Open Sans" w:eastAsia="Open Sans" w:hAnsi="Open Sans"/>
          <w:b w:val="false"/>
          <w:bCs w:val="false"/>
          <w:i w:val="false"/>
          <w:iCs w:val="false"/>
          <w:color w:val="40464B"/>
          <w:sz w:val="21"/>
          <w:szCs w:val="21"/>
        </w:rPr>
        <w:t xml:space="preserve">A 10-unit "trophy" asset in Laguna Beach — originally built in 1948 as the Cypress Garden Resort Hotel &amp; Apartments. Located 1,618 feet from Main Beach and 2,268 feet from downtown Laguna's restaurants and art galleries. The acquisition press release described it as "a quiet, luxurious hideaway, a stone's throw from the very center of things." This was the first acquisition for VWC Multifamily Fund IV, which opened to investors September 1, 2020.</w:t>
      </w:r>
    </w:p>
    <w:p>
      <w:pPr>
        <w:pBdr>
          <w:bottom w:val="single" w:color="A3D55D" w:sz="8"/>
        </w:pBdr>
        <w:spacing w:before="140" w:after="40"/>
      </w:pPr>
      <w:r>
        <w:rPr>
          <w:rFonts w:ascii="Lato" w:cs="Lato" w:eastAsia="Lato" w:hAnsi="Lato"/>
          <w:b/>
          <w:bCs/>
          <w:color w:val="40464B"/>
          <w:sz w:val="20"/>
          <w:szCs w:val="20"/>
        </w:rPr>
        <w:t xml:space="preserve">THE STRATEGY</w:t>
      </w:r>
    </w:p>
    <w:p>
      <w:pPr>
        <w:spacing w:before="40" w:after="40" w:line="280"/>
      </w:pPr>
      <w:r>
        <w:rPr>
          <w:rFonts w:ascii="Open Sans" w:cs="Open Sans" w:eastAsia="Open Sans" w:hAnsi="Open Sans"/>
          <w:b w:val="false"/>
          <w:bCs w:val="false"/>
          <w:i w:val="false"/>
          <w:iCs w:val="false"/>
          <w:color w:val="40464B"/>
          <w:sz w:val="21"/>
          <w:szCs w:val="21"/>
        </w:rPr>
        <w:t xml:space="preserve">The acquisition itself is a case study in VWC's sourcing discipline. VWC originally reviewed the property in April 2020 with a strike price $1M below the listing. Patience and perseverance worked — by July 2020 the seller became amenable. The broker cited two reasons VWC won the deal: (1) the completeness of the buyer package, and (2) VWC's existing ownership of two other Laguna Beach properties within walking distance. Submarket density is competitive moat.</w:t>
      </w:r>
    </w:p>
    <w:p>
      <w:pPr>
        <w:pBdr>
          <w:bottom w:val="single" w:color="A3D55D" w:sz="8"/>
        </w:pBdr>
        <w:spacing w:before="140" w:after="40"/>
      </w:pPr>
      <w:r>
        <w:rPr>
          <w:rFonts w:ascii="Lato" w:cs="Lato" w:eastAsia="Lato" w:hAnsi="Lato"/>
          <w:b/>
          <w:bCs/>
          <w:color w:val="40464B"/>
          <w:sz w:val="20"/>
          <w:szCs w:val="20"/>
        </w:rPr>
        <w:t xml:space="preserve">DEAL SNAPSHOT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2812"/>
        <w:gridCol w:w="2300"/>
        <w:gridCol w:w="2812"/>
      </w:tblGrid>
      <w:tr>
        <w:tc>
          <w:tcPr>
            <w:tcW w:type="dxa" w:w="2300"/>
            <w:tcBorders>
              <w:top w:val="single" w:color="E5E7EA" w:sz="4"/>
              <w:left w:val="single" w:color="E5E7EA" w:sz="4"/>
              <w:bottom w:val="single" w:color="E5E7EA" w:sz="4"/>
              <w:right w:val="single" w:color="E5E7EA" w:sz="4"/>
            </w:tcBorders>
            <w:shd w:fill="F7F7F7" w:color="auto" w:val="clear"/>
            <w:tcMar>
              <w:top w:type="dxa" w:w="80"/>
              <w:left w:type="dxa" w:w="140"/>
              <w:bottom w:type="dxa" w:w="80"/>
              <w:right w:type="dxa" w:w="140"/>
            </w:tcMar>
            <w:vAlign w:val="center"/>
          </w:tcPr>
          <w:p>
            <w:pPr>
              <w:spacing w:before="40" w:after="40" w:line="280"/>
            </w:pPr>
            <w:r>
              <w:rPr>
                <w:rFonts w:ascii="Lato" w:cs="Lato" w:eastAsia="Lato" w:hAnsi="Lato"/>
                <w:b/>
                <w:bCs/>
                <w:i w:val="false"/>
                <w:iCs w:val="false"/>
                <w:color w:val="666B70"/>
                <w:sz w:val="18"/>
                <w:szCs w:val="18"/>
              </w:rPr>
              <w:t xml:space="preserve">Acquisition Price</w:t>
            </w:r>
          </w:p>
        </w:tc>
        <w:tc>
          <w:tcPr>
            <w:tcW w:type="dxa" w:w="2812"/>
            <w:tcBorders>
              <w:top w:val="single" w:color="E5E7EA" w:sz="4"/>
              <w:left w:val="single" w:color="E5E7EA" w:sz="4"/>
              <w:bottom w:val="single" w:color="E5E7EA" w:sz="4"/>
              <w:right w:val="single" w:color="E5E7EA" w:sz="4"/>
            </w:tcBorders>
            <w:tcMar>
              <w:top w:type="dxa" w:w="80"/>
              <w:left w:type="dxa" w:w="140"/>
              <w:bottom w:type="dxa" w:w="80"/>
              <w:right w:type="dxa" w:w="140"/>
            </w:tcMar>
            <w:vAlign w:val="center"/>
          </w:tcPr>
          <w:p>
            <w:pPr>
              <w:spacing w:before="40" w:after="40" w:line="280"/>
            </w:pPr>
            <w:r>
              <w:rPr>
                <w:rFonts w:ascii="Open Sans" w:cs="Open Sans" w:eastAsia="Open Sans" w:hAnsi="Open Sans"/>
                <w:b/>
                <w:bCs/>
                <w:i w:val="false"/>
                <w:iCs w:val="false"/>
                <w:color w:val="40464B"/>
                <w:sz w:val="22"/>
                <w:szCs w:val="22"/>
              </w:rPr>
              <w:t xml:space="preserve">$4,050,000</w:t>
            </w:r>
          </w:p>
        </w:tc>
        <w:tc>
          <w:tcPr>
            <w:tcW w:type="dxa" w:w="2300"/>
            <w:tcBorders>
              <w:top w:val="single" w:color="E5E7EA" w:sz="4"/>
              <w:left w:val="single" w:color="E5E7EA" w:sz="4"/>
              <w:bottom w:val="single" w:color="E5E7EA" w:sz="4"/>
              <w:right w:val="single" w:color="E5E7EA" w:sz="4"/>
            </w:tcBorders>
            <w:shd w:fill="F7F7F7" w:color="auto" w:val="clear"/>
            <w:tcMar>
              <w:top w:type="dxa" w:w="80"/>
              <w:left w:type="dxa" w:w="140"/>
              <w:bottom w:type="dxa" w:w="80"/>
              <w:right w:type="dxa" w:w="140"/>
            </w:tcMar>
            <w:vAlign w:val="center"/>
          </w:tcPr>
          <w:p>
            <w:pPr>
              <w:spacing w:before="40" w:after="40" w:line="280"/>
            </w:pPr>
            <w:r>
              <w:rPr>
                <w:rFonts w:ascii="Lato" w:cs="Lato" w:eastAsia="Lato" w:hAnsi="Lato"/>
                <w:b/>
                <w:bCs/>
                <w:i w:val="false"/>
                <w:iCs w:val="false"/>
                <w:color w:val="666B70"/>
                <w:sz w:val="18"/>
                <w:szCs w:val="18"/>
              </w:rPr>
              <w:t xml:space="preserve">Loan Amount</w:t>
            </w:r>
          </w:p>
        </w:tc>
        <w:tc>
          <w:tcPr>
            <w:tcW w:type="dxa" w:w="2812"/>
            <w:tcBorders>
              <w:top w:val="single" w:color="E5E7EA" w:sz="4"/>
              <w:left w:val="single" w:color="E5E7EA" w:sz="4"/>
              <w:bottom w:val="single" w:color="E5E7EA" w:sz="4"/>
              <w:right w:val="single" w:color="E5E7EA" w:sz="4"/>
            </w:tcBorders>
            <w:tcMar>
              <w:top w:type="dxa" w:w="80"/>
              <w:left w:type="dxa" w:w="140"/>
              <w:bottom w:type="dxa" w:w="80"/>
              <w:right w:type="dxa" w:w="140"/>
            </w:tcMar>
            <w:vAlign w:val="center"/>
          </w:tcPr>
          <w:p>
            <w:pPr>
              <w:spacing w:before="40" w:after="40" w:line="280"/>
            </w:pPr>
            <w:r>
              <w:rPr>
                <w:rFonts w:ascii="Open Sans" w:cs="Open Sans" w:eastAsia="Open Sans" w:hAnsi="Open Sans"/>
                <w:b/>
                <w:bCs/>
                <w:i w:val="false"/>
                <w:iCs w:val="false"/>
                <w:color w:val="40464B"/>
                <w:sz w:val="22"/>
                <w:szCs w:val="22"/>
              </w:rPr>
              <w:t xml:space="preserve">$2,822,000</w:t>
            </w:r>
          </w:p>
        </w:tc>
      </w:tr>
      <w:tr>
        <w:tc>
          <w:tcPr>
            <w:tcW w:type="dxa" w:w="2300"/>
            <w:tcBorders>
              <w:top w:val="single" w:color="E5E7EA" w:sz="4"/>
              <w:left w:val="single" w:color="E5E7EA" w:sz="4"/>
              <w:bottom w:val="single" w:color="E5E7EA" w:sz="4"/>
              <w:right w:val="single" w:color="E5E7EA" w:sz="4"/>
            </w:tcBorders>
            <w:shd w:fill="F7F7F7" w:color="auto" w:val="clear"/>
            <w:tcMar>
              <w:top w:type="dxa" w:w="80"/>
              <w:left w:type="dxa" w:w="140"/>
              <w:bottom w:type="dxa" w:w="80"/>
              <w:right w:type="dxa" w:w="140"/>
            </w:tcMar>
            <w:vAlign w:val="center"/>
          </w:tcPr>
          <w:p>
            <w:pPr>
              <w:spacing w:before="40" w:after="40" w:line="280"/>
            </w:pPr>
            <w:r>
              <w:rPr>
                <w:rFonts w:ascii="Lato" w:cs="Lato" w:eastAsia="Lato" w:hAnsi="Lato"/>
                <w:b/>
                <w:bCs/>
                <w:i w:val="false"/>
                <w:iCs w:val="false"/>
                <w:color w:val="666B70"/>
                <w:sz w:val="18"/>
                <w:szCs w:val="18"/>
              </w:rPr>
              <w:t xml:space="preserve">Per Unit</w:t>
            </w:r>
          </w:p>
        </w:tc>
        <w:tc>
          <w:tcPr>
            <w:tcW w:type="dxa" w:w="2812"/>
            <w:tcBorders>
              <w:top w:val="single" w:color="E5E7EA" w:sz="4"/>
              <w:left w:val="single" w:color="E5E7EA" w:sz="4"/>
              <w:bottom w:val="single" w:color="E5E7EA" w:sz="4"/>
              <w:right w:val="single" w:color="E5E7EA" w:sz="4"/>
            </w:tcBorders>
            <w:tcMar>
              <w:top w:type="dxa" w:w="80"/>
              <w:left w:type="dxa" w:w="140"/>
              <w:bottom w:type="dxa" w:w="80"/>
              <w:right w:type="dxa" w:w="140"/>
            </w:tcMar>
            <w:vAlign w:val="center"/>
          </w:tcPr>
          <w:p>
            <w:pPr>
              <w:spacing w:before="40" w:after="40" w:line="280"/>
            </w:pPr>
            <w:r>
              <w:rPr>
                <w:rFonts w:ascii="Open Sans" w:cs="Open Sans" w:eastAsia="Open Sans" w:hAnsi="Open Sans"/>
                <w:b/>
                <w:bCs/>
                <w:i w:val="false"/>
                <w:iCs w:val="false"/>
                <w:color w:val="40464B"/>
                <w:sz w:val="22"/>
                <w:szCs w:val="22"/>
              </w:rPr>
              <w:t xml:space="preserve">$405,000 / unit</w:t>
            </w:r>
          </w:p>
        </w:tc>
        <w:tc>
          <w:tcPr>
            <w:tcW w:type="dxa" w:w="2300"/>
            <w:tcBorders>
              <w:top w:val="single" w:color="E5E7EA" w:sz="4"/>
              <w:left w:val="single" w:color="E5E7EA" w:sz="4"/>
              <w:bottom w:val="single" w:color="E5E7EA" w:sz="4"/>
              <w:right w:val="single" w:color="E5E7EA" w:sz="4"/>
            </w:tcBorders>
            <w:shd w:fill="F7F7F7" w:color="auto" w:val="clear"/>
            <w:tcMar>
              <w:top w:type="dxa" w:w="80"/>
              <w:left w:type="dxa" w:w="140"/>
              <w:bottom w:type="dxa" w:w="80"/>
              <w:right w:type="dxa" w:w="140"/>
            </w:tcMar>
            <w:vAlign w:val="center"/>
          </w:tcPr>
          <w:p>
            <w:pPr>
              <w:spacing w:before="40" w:after="40" w:line="280"/>
            </w:pPr>
            <w:r>
              <w:rPr>
                <w:rFonts w:ascii="Lato" w:cs="Lato" w:eastAsia="Lato" w:hAnsi="Lato"/>
                <w:b/>
                <w:bCs/>
                <w:i w:val="false"/>
                <w:iCs w:val="false"/>
                <w:color w:val="666B70"/>
                <w:sz w:val="18"/>
                <w:szCs w:val="18"/>
              </w:rPr>
              <w:t xml:space="preserve">Loan-to-Cost</w:t>
            </w:r>
          </w:p>
        </w:tc>
        <w:tc>
          <w:tcPr>
            <w:tcW w:type="dxa" w:w="2812"/>
            <w:tcBorders>
              <w:top w:val="single" w:color="E5E7EA" w:sz="4"/>
              <w:left w:val="single" w:color="E5E7EA" w:sz="4"/>
              <w:bottom w:val="single" w:color="E5E7EA" w:sz="4"/>
              <w:right w:val="single" w:color="E5E7EA" w:sz="4"/>
            </w:tcBorders>
            <w:tcMar>
              <w:top w:type="dxa" w:w="80"/>
              <w:left w:type="dxa" w:w="140"/>
              <w:bottom w:type="dxa" w:w="80"/>
              <w:right w:type="dxa" w:w="140"/>
            </w:tcMar>
            <w:vAlign w:val="center"/>
          </w:tcPr>
          <w:p>
            <w:pPr>
              <w:spacing w:before="40" w:after="40" w:line="280"/>
            </w:pPr>
            <w:r>
              <w:rPr>
                <w:rFonts w:ascii="Open Sans" w:cs="Open Sans" w:eastAsia="Open Sans" w:hAnsi="Open Sans"/>
                <w:b/>
                <w:bCs/>
                <w:i w:val="false"/>
                <w:iCs w:val="false"/>
                <w:color w:val="40464B"/>
                <w:sz w:val="22"/>
                <w:szCs w:val="22"/>
              </w:rPr>
              <w:t xml:space="preserve">56%</w:t>
            </w:r>
          </w:p>
        </w:tc>
      </w:tr>
      <w:tr>
        <w:tc>
          <w:tcPr>
            <w:tcW w:type="dxa" w:w="2300"/>
            <w:tcBorders>
              <w:top w:val="single" w:color="E5E7EA" w:sz="4"/>
              <w:left w:val="single" w:color="E5E7EA" w:sz="4"/>
              <w:bottom w:val="single" w:color="E5E7EA" w:sz="4"/>
              <w:right w:val="single" w:color="E5E7EA" w:sz="4"/>
            </w:tcBorders>
            <w:shd w:fill="F7F7F7" w:color="auto" w:val="clear"/>
            <w:tcMar>
              <w:top w:type="dxa" w:w="80"/>
              <w:left w:type="dxa" w:w="140"/>
              <w:bottom w:type="dxa" w:w="80"/>
              <w:right w:type="dxa" w:w="140"/>
            </w:tcMar>
            <w:vAlign w:val="center"/>
          </w:tcPr>
          <w:p>
            <w:pPr>
              <w:spacing w:before="40" w:after="40" w:line="280"/>
            </w:pPr>
            <w:r>
              <w:rPr>
                <w:rFonts w:ascii="Lato" w:cs="Lato" w:eastAsia="Lato" w:hAnsi="Lato"/>
                <w:b/>
                <w:bCs/>
                <w:i w:val="false"/>
                <w:iCs w:val="false"/>
                <w:color w:val="666B70"/>
                <w:sz w:val="18"/>
                <w:szCs w:val="18"/>
              </w:rPr>
              <w:t xml:space="preserve">CapEx</w:t>
            </w:r>
          </w:p>
        </w:tc>
        <w:tc>
          <w:tcPr>
            <w:tcW w:type="dxa" w:w="2812"/>
            <w:tcBorders>
              <w:top w:val="single" w:color="E5E7EA" w:sz="4"/>
              <w:left w:val="single" w:color="E5E7EA" w:sz="4"/>
              <w:bottom w:val="single" w:color="E5E7EA" w:sz="4"/>
              <w:right w:val="single" w:color="E5E7EA" w:sz="4"/>
            </w:tcBorders>
            <w:tcMar>
              <w:top w:type="dxa" w:w="80"/>
              <w:left w:type="dxa" w:w="140"/>
              <w:bottom w:type="dxa" w:w="80"/>
              <w:right w:type="dxa" w:w="140"/>
            </w:tcMar>
            <w:vAlign w:val="center"/>
          </w:tcPr>
          <w:p>
            <w:pPr>
              <w:spacing w:before="40" w:after="40" w:line="280"/>
            </w:pPr>
            <w:r>
              <w:rPr>
                <w:rFonts w:ascii="Open Sans" w:cs="Open Sans" w:eastAsia="Open Sans" w:hAnsi="Open Sans"/>
                <w:b/>
                <w:bCs/>
                <w:i w:val="false"/>
                <w:iCs w:val="false"/>
                <w:color w:val="40464B"/>
                <w:sz w:val="22"/>
                <w:szCs w:val="22"/>
              </w:rPr>
              <w:t xml:space="preserve">$391,749</w:t>
            </w:r>
          </w:p>
        </w:tc>
        <w:tc>
          <w:tcPr>
            <w:tcW w:type="dxa" w:w="2300"/>
            <w:tcBorders>
              <w:top w:val="single" w:color="E5E7EA" w:sz="4"/>
              <w:left w:val="single" w:color="E5E7EA" w:sz="4"/>
              <w:bottom w:val="single" w:color="E5E7EA" w:sz="4"/>
              <w:right w:val="single" w:color="E5E7EA" w:sz="4"/>
            </w:tcBorders>
            <w:shd w:fill="F7F7F7" w:color="auto" w:val="clear"/>
            <w:tcMar>
              <w:top w:type="dxa" w:w="80"/>
              <w:left w:type="dxa" w:w="140"/>
              <w:bottom w:type="dxa" w:w="80"/>
              <w:right w:type="dxa" w:w="140"/>
            </w:tcMar>
            <w:vAlign w:val="center"/>
          </w:tcPr>
          <w:p>
            <w:pPr>
              <w:spacing w:before="40" w:after="40" w:line="280"/>
            </w:pPr>
            <w:r>
              <w:rPr>
                <w:rFonts w:ascii="Lato" w:cs="Lato" w:eastAsia="Lato" w:hAnsi="Lato"/>
                <w:b/>
                <w:bCs/>
                <w:i w:val="false"/>
                <w:iCs w:val="false"/>
                <w:color w:val="666B70"/>
                <w:sz w:val="18"/>
                <w:szCs w:val="18"/>
              </w:rPr>
              <w:t xml:space="preserve">Equity Invested</w:t>
            </w:r>
          </w:p>
        </w:tc>
        <w:tc>
          <w:tcPr>
            <w:tcW w:type="dxa" w:w="2812"/>
            <w:tcBorders>
              <w:top w:val="single" w:color="E5E7EA" w:sz="4"/>
              <w:left w:val="single" w:color="E5E7EA" w:sz="4"/>
              <w:bottom w:val="single" w:color="E5E7EA" w:sz="4"/>
              <w:right w:val="single" w:color="E5E7EA" w:sz="4"/>
            </w:tcBorders>
            <w:tcMar>
              <w:top w:type="dxa" w:w="80"/>
              <w:left w:type="dxa" w:w="140"/>
              <w:bottom w:type="dxa" w:w="80"/>
              <w:right w:type="dxa" w:w="140"/>
            </w:tcMar>
            <w:vAlign w:val="center"/>
          </w:tcPr>
          <w:p>
            <w:pPr>
              <w:spacing w:before="40" w:after="40" w:line="280"/>
            </w:pPr>
            <w:r>
              <w:rPr>
                <w:rFonts w:ascii="Open Sans" w:cs="Open Sans" w:eastAsia="Open Sans" w:hAnsi="Open Sans"/>
                <w:b/>
                <w:bCs/>
                <w:i w:val="false"/>
                <w:iCs w:val="false"/>
                <w:color w:val="40464B"/>
                <w:sz w:val="22"/>
                <w:szCs w:val="22"/>
              </w:rPr>
              <w:t xml:space="preserve">$2,192,749</w:t>
            </w:r>
          </w:p>
        </w:tc>
      </w:tr>
      <w:tr>
        <w:tc>
          <w:tcPr>
            <w:tcW w:type="dxa" w:w="2300"/>
            <w:tcBorders>
              <w:top w:val="single" w:color="E5E7EA" w:sz="4"/>
              <w:left w:val="single" w:color="E5E7EA" w:sz="4"/>
              <w:bottom w:val="single" w:color="E5E7EA" w:sz="4"/>
              <w:right w:val="single" w:color="E5E7EA" w:sz="4"/>
            </w:tcBorders>
            <w:shd w:fill="F7F7F7" w:color="auto" w:val="clear"/>
            <w:tcMar>
              <w:top w:type="dxa" w:w="80"/>
              <w:left w:type="dxa" w:w="140"/>
              <w:bottom w:type="dxa" w:w="80"/>
              <w:right w:type="dxa" w:w="140"/>
            </w:tcMar>
            <w:vAlign w:val="center"/>
          </w:tcPr>
          <w:p>
            <w:pPr>
              <w:spacing w:before="40" w:after="40" w:line="280"/>
            </w:pPr>
            <w:r>
              <w:rPr>
                <w:rFonts w:ascii="Lato" w:cs="Lato" w:eastAsia="Lato" w:hAnsi="Lato"/>
                <w:b/>
                <w:bCs/>
                <w:i w:val="false"/>
                <w:iCs w:val="false"/>
                <w:color w:val="666B70"/>
                <w:sz w:val="18"/>
                <w:szCs w:val="18"/>
              </w:rPr>
              <w:t xml:space="preserve">Total Cost</w:t>
            </w:r>
          </w:p>
        </w:tc>
        <w:tc>
          <w:tcPr>
            <w:tcW w:type="dxa" w:w="2812"/>
            <w:tcBorders>
              <w:top w:val="single" w:color="E5E7EA" w:sz="4"/>
              <w:left w:val="single" w:color="E5E7EA" w:sz="4"/>
              <w:bottom w:val="single" w:color="E5E7EA" w:sz="4"/>
              <w:right w:val="single" w:color="E5E7EA" w:sz="4"/>
            </w:tcBorders>
            <w:tcMar>
              <w:top w:type="dxa" w:w="80"/>
              <w:left w:type="dxa" w:w="140"/>
              <w:bottom w:type="dxa" w:w="80"/>
              <w:right w:type="dxa" w:w="140"/>
            </w:tcMar>
            <w:vAlign w:val="center"/>
          </w:tcPr>
          <w:p>
            <w:pPr>
              <w:spacing w:before="40" w:after="40" w:line="280"/>
            </w:pPr>
            <w:r>
              <w:rPr>
                <w:rFonts w:ascii="Open Sans" w:cs="Open Sans" w:eastAsia="Open Sans" w:hAnsi="Open Sans"/>
                <w:b/>
                <w:bCs/>
                <w:i w:val="false"/>
                <w:iCs w:val="false"/>
                <w:color w:val="40464B"/>
                <w:sz w:val="22"/>
                <w:szCs w:val="22"/>
              </w:rPr>
              <w:t xml:space="preserve">$5,014,749</w:t>
            </w:r>
          </w:p>
        </w:tc>
        <w:tc>
          <w:tcPr>
            <w:tcW w:type="dxa" w:w="2300"/>
            <w:tcBorders>
              <w:top w:val="single" w:color="E5E7EA" w:sz="4"/>
              <w:left w:val="single" w:color="E5E7EA" w:sz="4"/>
              <w:bottom w:val="single" w:color="E5E7EA" w:sz="4"/>
              <w:right w:val="single" w:color="E5E7EA" w:sz="4"/>
            </w:tcBorders>
            <w:shd w:fill="F7F7F7" w:color="auto" w:val="clear"/>
            <w:tcMar>
              <w:top w:type="dxa" w:w="80"/>
              <w:left w:type="dxa" w:w="140"/>
              <w:bottom w:type="dxa" w:w="80"/>
              <w:right w:type="dxa" w:w="140"/>
            </w:tcMar>
            <w:vAlign w:val="center"/>
          </w:tcPr>
          <w:p>
            <w:pPr>
              <w:spacing w:before="40" w:after="40" w:line="280"/>
            </w:pPr>
            <w:r>
              <w:rPr>
                <w:rFonts w:ascii="Lato" w:cs="Lato" w:eastAsia="Lato" w:hAnsi="Lato"/>
                <w:b/>
                <w:bCs/>
                <w:i w:val="false"/>
                <w:iCs w:val="false"/>
                <w:color w:val="666B70"/>
                <w:sz w:val="18"/>
                <w:szCs w:val="18"/>
              </w:rPr>
              <w:t xml:space="preserve">Est. Market Value</w:t>
            </w:r>
          </w:p>
        </w:tc>
        <w:tc>
          <w:tcPr>
            <w:tcW w:type="dxa" w:w="2812"/>
            <w:tcBorders>
              <w:top w:val="single" w:color="E5E7EA" w:sz="4"/>
              <w:left w:val="single" w:color="E5E7EA" w:sz="4"/>
              <w:bottom w:val="single" w:color="E5E7EA" w:sz="4"/>
              <w:right w:val="single" w:color="E5E7EA" w:sz="4"/>
            </w:tcBorders>
            <w:tcMar>
              <w:top w:type="dxa" w:w="80"/>
              <w:left w:type="dxa" w:w="140"/>
              <w:bottom w:type="dxa" w:w="80"/>
              <w:right w:type="dxa" w:w="140"/>
            </w:tcMar>
            <w:vAlign w:val="center"/>
          </w:tcPr>
          <w:p>
            <w:pPr>
              <w:spacing w:before="40" w:after="40" w:line="280"/>
            </w:pPr>
            <w:r>
              <w:rPr>
                <w:rFonts w:ascii="Open Sans" w:cs="Open Sans" w:eastAsia="Open Sans" w:hAnsi="Open Sans"/>
                <w:b/>
                <w:bCs/>
                <w:i w:val="false"/>
                <w:iCs w:val="false"/>
                <w:color w:val="40464B"/>
                <w:sz w:val="22"/>
                <w:szCs w:val="22"/>
              </w:rPr>
              <w:t xml:space="preserve">$6,600,000</w:t>
            </w:r>
          </w:p>
        </w:tc>
      </w:tr>
      <w:tr>
        <w:tc>
          <w:tcPr>
            <w:tcW w:type="dxa" w:w="2300"/>
            <w:tcBorders>
              <w:top w:val="single" w:color="E5E7EA" w:sz="4"/>
              <w:left w:val="single" w:color="E5E7EA" w:sz="4"/>
              <w:bottom w:val="single" w:color="E5E7EA" w:sz="4"/>
              <w:right w:val="single" w:color="E5E7EA" w:sz="4"/>
            </w:tcBorders>
            <w:shd w:fill="F7F7F7" w:color="auto" w:val="clear"/>
            <w:tcMar>
              <w:top w:type="dxa" w:w="80"/>
              <w:left w:type="dxa" w:w="140"/>
              <w:bottom w:type="dxa" w:w="80"/>
              <w:right w:type="dxa" w:w="140"/>
            </w:tcMar>
            <w:vAlign w:val="center"/>
          </w:tcPr>
          <w:p>
            <w:pPr>
              <w:spacing w:before="40" w:after="40" w:line="280"/>
            </w:pPr>
            <w:r>
              <w:rPr>
                <w:rFonts w:ascii="Lato" w:cs="Lato" w:eastAsia="Lato" w:hAnsi="Lato"/>
                <w:b/>
                <w:bCs/>
                <w:i w:val="false"/>
                <w:iCs w:val="false"/>
                <w:color w:val="666B70"/>
                <w:sz w:val="18"/>
                <w:szCs w:val="18"/>
              </w:rPr>
              <w:t xml:space="preserve">Hold Period</w:t>
            </w:r>
          </w:p>
        </w:tc>
        <w:tc>
          <w:tcPr>
            <w:tcW w:type="dxa" w:w="2812"/>
            <w:tcBorders>
              <w:top w:val="single" w:color="E5E7EA" w:sz="4"/>
              <w:left w:val="single" w:color="E5E7EA" w:sz="4"/>
              <w:bottom w:val="single" w:color="E5E7EA" w:sz="4"/>
              <w:right w:val="single" w:color="E5E7EA" w:sz="4"/>
            </w:tcBorders>
            <w:tcMar>
              <w:top w:type="dxa" w:w="80"/>
              <w:left w:type="dxa" w:w="140"/>
              <w:bottom w:type="dxa" w:w="80"/>
              <w:right w:type="dxa" w:w="140"/>
            </w:tcMar>
            <w:vAlign w:val="center"/>
          </w:tcPr>
          <w:p>
            <w:pPr>
              <w:spacing w:before="40" w:after="40" w:line="280"/>
            </w:pPr>
            <w:r>
              <w:rPr>
                <w:rFonts w:ascii="Open Sans" w:cs="Open Sans" w:eastAsia="Open Sans" w:hAnsi="Open Sans"/>
                <w:b/>
                <w:bCs/>
                <w:i w:val="false"/>
                <w:iCs w:val="false"/>
                <w:color w:val="40464B"/>
                <w:sz w:val="22"/>
                <w:szCs w:val="22"/>
              </w:rPr>
              <w:t xml:space="preserve">Stabilized</w:t>
            </w:r>
          </w:p>
        </w:tc>
        <w:tc>
          <w:tcPr>
            <w:tcW w:type="dxa" w:w="2300"/>
            <w:tcBorders>
              <w:top w:val="single" w:color="E5E7EA" w:sz="4"/>
              <w:left w:val="single" w:color="E5E7EA" w:sz="4"/>
              <w:bottom w:val="single" w:color="E5E7EA" w:sz="4"/>
              <w:right w:val="single" w:color="E5E7EA" w:sz="4"/>
            </w:tcBorders>
            <w:shd w:fill="F7F7F7" w:color="auto" w:val="clear"/>
            <w:tcMar>
              <w:top w:type="dxa" w:w="80"/>
              <w:left w:type="dxa" w:w="140"/>
              <w:bottom w:type="dxa" w:w="80"/>
              <w:right w:type="dxa" w:w="140"/>
            </w:tcMar>
            <w:vAlign w:val="center"/>
          </w:tcPr>
          <w:p>
            <w:pPr>
              <w:spacing w:before="40" w:after="40" w:line="280"/>
            </w:pPr>
            <w:r>
              <w:rPr>
                <w:rFonts w:ascii="Lato" w:cs="Lato" w:eastAsia="Lato" w:hAnsi="Lato"/>
                <w:b/>
                <w:bCs/>
                <w:i w:val="false"/>
                <w:iCs w:val="false"/>
                <w:color w:val="666B70"/>
                <w:sz w:val="18"/>
                <w:szCs w:val="18"/>
              </w:rPr>
              <w:t xml:space="preserve">Exit Per Unit</w:t>
            </w:r>
          </w:p>
        </w:tc>
        <w:tc>
          <w:tcPr>
            <w:tcW w:type="dxa" w:w="2812"/>
            <w:tcBorders>
              <w:top w:val="single" w:color="E5E7EA" w:sz="4"/>
              <w:left w:val="single" w:color="E5E7EA" w:sz="4"/>
              <w:bottom w:val="single" w:color="E5E7EA" w:sz="4"/>
              <w:right w:val="single" w:color="E5E7EA" w:sz="4"/>
            </w:tcBorders>
            <w:tcMar>
              <w:top w:type="dxa" w:w="80"/>
              <w:left w:type="dxa" w:w="140"/>
              <w:bottom w:type="dxa" w:w="80"/>
              <w:right w:type="dxa" w:w="140"/>
            </w:tcMar>
            <w:vAlign w:val="center"/>
          </w:tcPr>
          <w:p>
            <w:pPr>
              <w:spacing w:before="40" w:after="40" w:line="280"/>
            </w:pPr>
            <w:r>
              <w:rPr>
                <w:rFonts w:ascii="Open Sans" w:cs="Open Sans" w:eastAsia="Open Sans" w:hAnsi="Open Sans"/>
                <w:b/>
                <w:bCs/>
                <w:i w:val="false"/>
                <w:iCs w:val="false"/>
                <w:color w:val="40464B"/>
                <w:sz w:val="22"/>
                <w:szCs w:val="22"/>
              </w:rPr>
              <w:t xml:space="preserve">$660,000 / unit</w:t>
            </w:r>
          </w:p>
        </w:tc>
      </w:tr>
    </w:tbl>
    <w:p>
      <w:pPr>
        <w:pBdr>
          <w:bottom w:val="single" w:color="A3D55D" w:sz="8"/>
        </w:pBdr>
        <w:spacing w:before="140" w:after="40"/>
      </w:pPr>
      <w:r>
        <w:rPr>
          <w:rFonts w:ascii="Lato" w:cs="Lato" w:eastAsia="Lato" w:hAnsi="Lato"/>
          <w:b/>
          <w:bCs/>
          <w:color w:val="40464B"/>
          <w:sz w:val="20"/>
          <w:szCs w:val="20"/>
        </w:rPr>
        <w:t xml:space="preserve">INVESTOR TAKEAWAY</w:t>
      </w:r>
    </w:p>
    <w:p>
      <w:pPr>
        <w:pBdr>
          <w:left w:val="single" w:color="A3D55D" w:sz="16" w:space="12"/>
        </w:pBdr>
        <w:spacing w:before="40" w:after="40" w:line="280"/>
        <w:ind w:left="180" w:right="180"/>
      </w:pPr>
      <w:r>
        <w:rPr>
          <w:rFonts w:ascii="Open Sans" w:cs="Open Sans" w:eastAsia="Open Sans" w:hAnsi="Open Sans"/>
          <w:b w:val="false"/>
          <w:bCs w:val="false"/>
          <w:i w:val="false"/>
          <w:iCs w:val="false"/>
          <w:color w:val="40464B"/>
          <w:sz w:val="21"/>
          <w:szCs w:val="21"/>
        </w:rPr>
        <w:t xml:space="preserve">The highest projected return in the entire VWC portfolio — earned by waiting four months for the right entry price on an asset that never should have been available below the line. The deal also demonstrates the compounding value of submarket density: VWC's existing Laguna position is what closed the deal, not just the offer price.</w:t>
      </w:r>
    </w:p>
    <w:p>
      <w:pPr>
        <w:pBdr>
          <w:top w:val="single" w:color="E5E7EA" w:sz="4"/>
        </w:pBdr>
        <w:spacing w:before="160" w:after="60"/>
      </w:pPr>
      <w:r>
        <w:t xml:space="preserve"/>
      </w:r>
    </w:p>
    <w:p>
      <w:pPr>
        <w:spacing w:before="0" w:after="0" w:line="220"/>
      </w:pPr>
      <w:r>
        <w:rPr>
          <w:rFonts w:ascii="Open Sans" w:cs="Open Sans" w:eastAsia="Open Sans" w:hAnsi="Open Sans"/>
          <w:b w:val="false"/>
          <w:bCs w:val="false"/>
          <w:i/>
          <w:iCs/>
          <w:color w:val="8A8F94"/>
          <w:sz w:val="13"/>
          <w:szCs w:val="13"/>
        </w:rPr>
        <w:t xml:space="preserve">This communication is provided for informational purposes only and does not constitute an offer to sell or a solicitation of an offer to buy any securities. Any such offer or solicitation will be made only through definitive offering documents (including a private placement memorandum) provided to qualified investors. Past performance is not indicative of future results. Real estate investments involve risk, including loss of principal.</w:t>
      </w:r>
    </w:p>
    <w:sectPr>
      <w:headerReference w:type="default" r:id="rId6"/>
      <w:footerReference w:type="default" r:id="rId7"/>
      <w:pgSz w:w="12240" w:h="15840" w:orient="portrait"/>
      <w:pgMar w:top="1008" w:right="1008" w:bottom="1008" w:left="1008" w:header="432"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3D55D" w:sz="4"/>
      </w:pBdr>
      <w:spacing w:before="0" w:after="0"/>
    </w:pPr>
    <w:r>
      <w:t xml:space="preserve"/>
    </w:r>
  </w:p>
  <w:p>
    <w:pPr>
      <w:spacing w:before="80" w:after="0"/>
      <w:jc w:val="left"/>
    </w:pPr>
    <w:r>
      <w:rPr>
        <w:rFonts w:ascii="Open Sans" w:cs="Open Sans" w:eastAsia="Open Sans" w:hAnsi="Open Sans"/>
        <w:b w:val="false"/>
        <w:bCs w:val="false"/>
        <w:i w:val="false"/>
        <w:iCs w:val="false"/>
        <w:color w:val="8A8F94"/>
        <w:sz w:val="16"/>
        <w:szCs w:val="16"/>
      </w:rPr>
      <w:t xml:space="preserve">VisionWise Capital  ·  </w:t>
    </w:r>
    <w:hyperlink w:history="1" r:id="rId1myp-xv5estd7tvcmnwq1">
      <w:r>
        <w:rPr>
          <w:rFonts w:ascii="Open Sans" w:cs="Open Sans" w:eastAsia="Open Sans" w:hAnsi="Open Sans"/>
          <w:color w:val="5C9627"/>
          <w:sz w:val="16"/>
          <w:szCs w:val="16"/>
        </w:rPr>
        <w:t xml:space="preserve">visionwisecapital.com</w:t>
      </w:r>
    </w:hyperlink>
    <w:r>
      <w:rPr>
        <w:rFonts w:ascii="Open Sans" w:cs="Open Sans" w:eastAsia="Open Sans" w:hAnsi="Open Sans"/>
        <w:b w:val="false"/>
        <w:bCs w:val="false"/>
        <w:i w:val="false"/>
        <w:iCs w:val="false"/>
        <w:color w:val="8A8F94"/>
        <w:sz w:val="16"/>
        <w:szCs w:val="16"/>
      </w:rPr>
      <w:t xml:space="preserve">  ·  (949) 441-5580  ·  </w:t>
    </w:r>
    <w:r>
      <w:rPr>
        <w:rFonts w:ascii="Open Sans" w:cs="Open Sans" w:eastAsia="Open Sans" w:hAnsi="Open Sans"/>
        <w:b w:val="false"/>
        <w:bCs w:val="false"/>
        <w:i/>
        <w:iCs/>
        <w:color w:val="8A8F94"/>
        <w:sz w:val="16"/>
        <w:szCs w:val="16"/>
      </w:rPr>
      <w:t xml:space="preserve">Placing Multifamily Real Estate Within Your Reach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20"/>
      <w:jc w:val="left"/>
    </w:pPr>
    <w:r>
      <w:drawing>
        <wp:inline distT="0" distB="0" distL="0" distR="0">
          <wp:extent cx="1428750" cy="238125"/>
          <wp:effectExtent t="0" r="0" b="0" l="0"/>
          <wp:docPr id="1" name="vwc_logo" descr="VWC Logo" title="VisionWis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38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4046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1myp-xv5estd7tvcmnwq1" Type="http://schemas.openxmlformats.org/officeDocument/2006/relationships/hyperlink" Target="https://visionwisecapital.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522428a715b3ceca080b5f4e91dc04cd2726ac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374 Cypress Drive — Case Study</dc:title>
  <dc:creator>VisionWise Capital</dc:creator>
  <dc:description>VWC Case Study: 374 Cypress Drive, Laguna Beach, CA — Cypress Garden Apartments</dc:description>
  <cp:lastModifiedBy>Un-named</cp:lastModifiedBy>
  <cp:revision>1</cp:revision>
  <dcterms:created xsi:type="dcterms:W3CDTF">2026-04-25T21:19:03.624Z</dcterms:created>
  <dcterms:modified xsi:type="dcterms:W3CDTF">2026-04-25T21:19:03.624Z</dcterms:modified>
</cp:coreProperties>
</file>

<file path=docProps/custom.xml><?xml version="1.0" encoding="utf-8"?>
<Properties xmlns="http://schemas.openxmlformats.org/officeDocument/2006/custom-properties" xmlns:vt="http://schemas.openxmlformats.org/officeDocument/2006/docPropsVTypes"/>
</file>