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20"/>
      </w:pP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CASE STUDY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8A8F94"/>
          <w:sz w:val="16"/>
          <w:szCs w:val="16"/>
        </w:rPr>
        <w:t xml:space="preserve">   ·   </w:t>
      </w: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SOLD</w:t>
      </w:r>
    </w:p>
    <w:p>
      <w:pPr>
        <w:spacing w:before="0" w:after="20" w:line="280"/>
      </w:pPr>
      <w:r>
        <w:rPr>
          <w:rFonts w:ascii="Lato" w:cs="Lato" w:eastAsia="Lato" w:hAnsi="Lato"/>
          <w:b/>
          <w:bCs/>
          <w:i w:val="false"/>
          <w:iCs w:val="false"/>
          <w:color w:val="40464B"/>
          <w:sz w:val="44"/>
          <w:szCs w:val="44"/>
        </w:rPr>
        <w:t xml:space="preserve">24502 Bendicron</w:t>
      </w:r>
    </w:p>
    <w:p>
      <w:pPr>
        <w:spacing w:before="0"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Lake Forest, CA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8 units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Acquired August 2022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LEVERED RETURN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29.48%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PROFIT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$531,701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OPPORTUNITY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An eight-unit asset in Lake Forest — south Orange County, with proximity to Irvine's job base. VWC's expansion into the OC inland corridor while the coastal cluster continued operating. Acquired in mid-2022, alongside three other deals (925 Malden, 121-131 Lincoln, and 1215 Hornblend) in a busy summer of capital deployment.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STRATEGY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Standard value-add lifecycle — acquire, renovate, exit. CapEx of $370K (13% of acquisition) was a meaningful interior reposition. The completed renovation supported a $4.13M sale at $517K/unit, vs. $357K/unit acquisition basis.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DEAL SNAPSHOT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12"/>
        <w:gridCol w:w="2300"/>
        <w:gridCol w:w="2812"/>
      </w:tblGrid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Acquisition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$2,855,000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$1,800,000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$357,000 / unit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Loan-to-Cost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50%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CapEx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$370,498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Equity Invested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$1,803,561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Total 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$3,603,561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Sale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$4,135,262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Hold Period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—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Exit 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$517,000 / unit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INVESTOR TAKEAWAY</w:t>
      </w:r>
    </w:p>
    <w:p>
      <w:pPr>
        <w:pBdr>
          <w:left w:val="single" w:color="A3D55D" w:sz="16" w:space="12"/>
        </w:pBdr>
        <w:spacing w:before="40" w:after="40" w:line="280"/>
        <w:ind w:left="180" w:right="1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 29% levered return on a textbook execution: 50% LTV, ~13% CapEx ratio, full reposition, clean exit. Bendicron is the kind of deal that doesn't make headlines but compounds into the 23.95% portfolio average — repeatable, disciplined, and unsentimental.</w:t>
      </w:r>
    </w:p>
    <w:p>
      <w:pPr>
        <w:pBdr>
          <w:top w:val="single" w:color="E5E7EA" w:sz="4"/>
        </w:pBdr>
        <w:spacing w:before="160" w:after="60"/>
      </w:pPr>
      <w:r>
        <w:t xml:space="preserve"/>
      </w:r>
    </w:p>
    <w:p>
      <w:pPr>
        <w:spacing w:before="0" w:after="0" w:line="220"/>
      </w:pPr>
      <w:r>
        <w:rPr>
          <w:rFonts w:ascii="Open Sans" w:cs="Open Sans" w:eastAsia="Open Sans" w:hAnsi="Open Sans"/>
          <w:b w:val="false"/>
          <w:bCs w:val="false"/>
          <w:i/>
          <w:iCs/>
          <w:color w:val="8A8F94"/>
          <w:sz w:val="13"/>
          <w:szCs w:val="13"/>
        </w:rPr>
        <w:t xml:space="preserve"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3D55D" w:sz="4"/>
      </w:pBdr>
      <w:spacing w:before="0" w:after="0"/>
    </w:pPr>
    <w:r>
      <w:t xml:space="preserve"/>
    </w:r>
  </w:p>
  <w:p>
    <w:pPr>
      <w:spacing w:before="80" w:after="0"/>
      <w:jc w:val="left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VisionWise Capital  ·  </w:t>
    </w:r>
    <w:hyperlink w:history="1" r:id="rId316ljeytd7q83ucasdbtp">
      <w:r>
        <w:rPr>
          <w:rFonts w:ascii="Open Sans" w:cs="Open Sans" w:eastAsia="Open Sans" w:hAnsi="Open Sans"/>
          <w:color w:val="5C9627"/>
          <w:sz w:val="16"/>
          <w:szCs w:val="16"/>
        </w:rPr>
        <w:t xml:space="preserve">visionwisecapital.com</w:t>
      </w:r>
    </w:hyperlink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  ·  (949) 441-5580  ·  </w:t>
    </w:r>
    <w:r>
      <w:rPr>
        <w:rFonts w:ascii="Open Sans" w:cs="Open Sans" w:eastAsia="Open Sans" w:hAnsi="Open Sans"/>
        <w:b w:val="false"/>
        <w:bCs w:val="false"/>
        <w:i/>
        <w:iCs/>
        <w:color w:val="8A8F94"/>
        <w:sz w:val="16"/>
        <w:szCs w:val="16"/>
      </w:rPr>
      <w:t xml:space="preserve">Placing Multifamily Real Estate Within Your Reach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20"/>
      <w:jc w:val="left"/>
    </w:pPr>
    <w:r>
      <w:drawing>
        <wp:inline distT="0" distB="0" distL="0" distR="0">
          <wp:extent cx="1428750" cy="238125"/>
          <wp:effectExtent t="0" r="0" b="0" l="0"/>
          <wp:docPr id="1" name="vwc_logo" descr="VWC Logo" title="VisionWise Ca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4046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316ljeytd7q83ucasdbtp" Type="http://schemas.openxmlformats.org/officeDocument/2006/relationships/hyperlink" Target="https://visionwisecapital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22428a715b3ceca080b5f4e91dc04cd2726ac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24502 Bendicron — Case Study</dc:title>
  <dc:creator>VisionWise Capital</dc:creator>
  <dc:description>VWC Case Study: 24502 Bendicron, Lake Forest, CA</dc:description>
  <cp:lastModifiedBy>Un-named</cp:lastModifiedBy>
  <cp:revision>1</cp:revision>
  <dcterms:created xsi:type="dcterms:W3CDTF">2026-04-25T21:19:03.718Z</dcterms:created>
  <dcterms:modified xsi:type="dcterms:W3CDTF">2026-04-25T21:19:03.718Z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