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4E79"/>
          <w:sz w:val="52"/>
        </w:rPr>
        <w:t>TALY (Talley &amp; Associates)</w:t>
      </w:r>
    </w:p>
    <w:p>
      <w:pPr>
        <w:jc w:val="center"/>
      </w:pPr>
      <w:r>
        <w:rPr>
          <w:rFonts w:ascii="Calibri" w:hAnsi="Calibri"/>
          <w:color w:val="2E75B6"/>
          <w:sz w:val="40"/>
        </w:rPr>
        <w:t>2025 IT Support Review</w:t>
      </w:r>
    </w:p>
    <w:p>
      <w:pPr>
        <w:jc w:val="center"/>
      </w:pPr>
      <w:r>
        <w:rPr>
          <w:rFonts w:ascii="Calibri" w:hAnsi="Calibri"/>
          <w:color w:val="2E75B6"/>
          <w:sz w:val="40"/>
        </w:rPr>
        <w:t>&amp; 2026 Planning Readiness Assessment</w:t>
      </w:r>
    </w:p>
    <w:p/>
    <w:p>
      <w:pPr>
        <w:jc w:val="center"/>
      </w:pPr>
      <w:r>
        <w:rPr>
          <w:rFonts w:ascii="Calibri" w:hAnsi="Calibri"/>
          <w:color w:val="666666"/>
          <w:sz w:val="24"/>
        </w:rPr>
        <w:t>Prepared by Technijian Inc.  —  March 2026</w:t>
      </w:r>
    </w:p>
    <w:p/>
    <w:tbl>
      <w:tblPr>
        <w:tblStyle w:val="TableGrid"/>
        <w:tblW w:type="auto" w:w="0"/>
        <w:jc w:val="center"/>
        <w:tblLook w:firstColumn="1" w:firstRow="1" w:lastColumn="0" w:lastRow="0" w:noHBand="0" w:noVBand="1" w:val="04A0"/>
      </w:tblPr>
      <w:tblGrid>
        <w:gridCol w:w="5213"/>
        <w:gridCol w:w="5213"/>
      </w:tblGrid>
      <w:tr>
        <w:tc>
          <w:tcPr>
            <w:tcW w:type="dxa" w:w="5213"/>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2025 At a Glance</w:t>
            </w:r>
          </w:p>
        </w:tc>
        <w:tc>
          <w:tcPr>
            <w:tcW w:type="dxa" w:w="5213"/>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Key Figures</w:t>
            </w:r>
          </w:p>
        </w:tc>
      </w:tr>
      <w:tr>
        <w:tc>
          <w:tcPr>
            <w:tcW w:type="dxa" w:w="5213"/>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 2025 Revenue</w:t>
            </w:r>
          </w:p>
        </w:tc>
        <w:tc>
          <w:tcPr>
            <w:tcW w:type="dxa" w:w="5213"/>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$9,336</w:t>
            </w:r>
          </w:p>
        </w:tc>
      </w:tr>
      <w:tr>
        <w:tc>
          <w:tcPr>
            <w:tcW w:type="dxa" w:w="5213"/>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Monthly Contract (Support + Services)</w:t>
            </w:r>
          </w:p>
        </w:tc>
        <w:tc>
          <w:tcPr>
            <w:tcW w:type="dxa" w:w="5213"/>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$8,261</w:t>
            </w:r>
          </w:p>
        </w:tc>
      </w:tr>
      <w:tr>
        <w:tc>
          <w:tcPr>
            <w:tcW w:type="dxa" w:w="5213"/>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Hourly / Onsite Labor</w:t>
            </w:r>
          </w:p>
        </w:tc>
        <w:tc>
          <w:tcPr>
            <w:tcW w:type="dxa" w:w="5213"/>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$1,075</w:t>
            </w:r>
          </w:p>
        </w:tc>
      </w:tr>
      <w:tr>
        <w:tc>
          <w:tcPr>
            <w:tcW w:type="dxa" w:w="5213"/>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Unique Tickets (2025)</w:t>
            </w:r>
          </w:p>
        </w:tc>
        <w:tc>
          <w:tcPr>
            <w:tcW w:type="dxa" w:w="5213"/>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54</w:t>
            </w:r>
          </w:p>
        </w:tc>
      </w:tr>
      <w:tr>
        <w:tc>
          <w:tcPr>
            <w:tcW w:type="dxa" w:w="5213"/>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Total Support Hours Delivered</w:t>
            </w:r>
          </w:p>
        </w:tc>
        <w:tc>
          <w:tcPr>
            <w:tcW w:type="dxa" w:w="5213"/>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63.9</w:t>
            </w:r>
          </w:p>
        </w:tc>
      </w:tr>
      <w:tr>
        <w:tc>
          <w:tcPr>
            <w:tcW w:type="dxa" w:w="5213"/>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Active Users</w:t>
            </w:r>
          </w:p>
        </w:tc>
        <w:tc>
          <w:tcPr>
            <w:tcW w:type="dxa" w:w="5213"/>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w:t>
            </w:r>
          </w:p>
        </w:tc>
      </w:tr>
      <w:tr>
        <w:tc>
          <w:tcPr>
            <w:tcW w:type="dxa" w:w="5213"/>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Desktops Managed</w:t>
            </w:r>
          </w:p>
        </w:tc>
        <w:tc>
          <w:tcPr>
            <w:tcW w:type="dxa" w:w="5213"/>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 → 7 (Mar 2026)</w:t>
            </w:r>
          </w:p>
        </w:tc>
      </w:tr>
      <w:tr>
        <w:tc>
          <w:tcPr>
            <w:tcW w:type="dxa" w:w="5213"/>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Network Devices Monitored</w:t>
            </w:r>
          </w:p>
        </w:tc>
        <w:tc>
          <w:tcPr>
            <w:tcW w:type="dxa" w:w="5213"/>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16</w:t>
            </w:r>
          </w:p>
        </w:tc>
      </w:tr>
      <w:tr>
        <w:tc>
          <w:tcPr>
            <w:tcW w:type="dxa" w:w="5213"/>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Backup Storage</w:t>
            </w:r>
          </w:p>
        </w:tc>
        <w:tc>
          <w:tcPr>
            <w:tcW w:type="dxa" w:w="5213"/>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 TB</w:t>
            </w:r>
          </w:p>
        </w:tc>
      </w:tr>
    </w:tbl>
    <w:p>
      <w:r>
        <w:br w:type="page"/>
      </w:r>
    </w:p>
    <w:p>
      <w:pPr>
        <w:pStyle w:val="Heading1"/>
        <w:spacing w:before="240" w:after="120"/>
      </w:pPr>
      <w:r>
        <w:rPr>
          <w:b/>
          <w:color w:val="1F4E79"/>
          <w:sz w:val="32"/>
        </w:rPr>
        <w:t>Section 1: Support Scope &amp; Coverage</w:t>
      </w:r>
    </w:p>
    <w:p>
      <w:pPr>
        <w:pStyle w:val="Heading2"/>
        <w:spacing w:before="200" w:after="80"/>
      </w:pPr>
      <w:r>
        <w:rPr>
          <w:b/>
          <w:color w:val="1F4E79"/>
          <w:sz w:val="26"/>
        </w:rPr>
        <w:t>1.1 What Is Included in Monthly Support</w:t>
      </w:r>
    </w:p>
    <w:p>
      <w:pPr>
        <w:spacing w:after="80"/>
      </w:pPr>
      <w:r>
        <w:rPr>
          <w:rFonts w:ascii="Calibri" w:hAnsi="Calibri"/>
          <w:sz w:val="20"/>
        </w:rPr>
        <w:t>The monthly agreement covers a managed IT package for TALY, totaling $8,261 across 2025 (~$688/month). This breaks down into two components:</w:t>
      </w:r>
    </w:p>
    <w:p>
      <w:pPr>
        <w:spacing w:after="80"/>
      </w:pPr>
      <w:r>
        <w:rPr>
          <w:rFonts w:ascii="Calibri" w:hAnsi="Calibri"/>
          <w:b/>
          <w:sz w:val="20"/>
        </w:rPr>
        <w:t>Labor (~$3,907/year, ~$326/month):</w:t>
      </w:r>
      <w:r>
        <w:rPr>
          <w:rFonts w:ascii="Calibri" w:hAnsi="Calibri"/>
          <w:sz w:val="20"/>
        </w:rPr>
        <w:t xml:space="preserve"> US-based technical support ($125/hr remote, $150–200/hr onsite) handles escalations, advisory, and hands-on work. Offshore technical support provides US daytime coverage ($30/hr) and US overnight coverage ($15/hr).</w:t>
      </w:r>
    </w:p>
    <w:p>
      <w:pPr>
        <w:spacing w:after="80"/>
      </w:pPr>
      <w:r>
        <w:rPr>
          <w:rFonts w:ascii="Calibri" w:hAnsi="Calibri"/>
          <w:b/>
          <w:sz w:val="20"/>
        </w:rPr>
        <w:t>Managed Services (~$4,354/year, ~$363/month):</w:t>
      </w:r>
      <w:r>
        <w:rPr>
          <w:rFonts w:ascii="Calibri" w:hAnsi="Calibri"/>
          <w:sz w:val="20"/>
        </w:rPr>
        <w:t xml:space="preserve"> Security stack (CrowdStrike, Huntress), monitoring (RMM, syslog/health monitoring, patch management), backup (cloud backup storage), secure internet filtering, pen testing, and site assessment.</w:t>
      </w:r>
    </w:p>
    <w:p>
      <w:pPr>
        <w:pStyle w:val="Heading2"/>
        <w:spacing w:before="200" w:after="80"/>
      </w:pPr>
      <w:r>
        <w:rPr>
          <w:b/>
          <w:color w:val="1F4E79"/>
          <w:sz w:val="26"/>
        </w:rPr>
        <w:t>1.2 Coverage Hours</w:t>
      </w:r>
    </w:p>
    <w:p>
      <w:pPr>
        <w:pStyle w:val="ListBullet"/>
        <w:spacing w:after="40"/>
      </w:pPr>
      <w:r>
        <w:rPr>
          <w:rFonts w:ascii="Calibri" w:hAnsi="Calibri"/>
          <w:b/>
          <w:sz w:val="20"/>
        </w:rPr>
        <w:t>Total Hours Delivered:</w:t>
      </w:r>
      <w:r>
        <w:rPr>
          <w:rFonts w:ascii="Calibri" w:hAnsi="Calibri"/>
          <w:sz w:val="20"/>
        </w:rPr>
        <w:t xml:space="preserve"> 63.9 hours delivered across 54 unique tickets in 2025.</w:t>
      </w:r>
    </w:p>
    <w:p>
      <w:pPr>
        <w:pStyle w:val="ListBullet"/>
        <w:spacing w:after="40"/>
      </w:pPr>
      <w:r>
        <w:rPr>
          <w:rFonts w:ascii="Calibri" w:hAnsi="Calibri"/>
          <w:b/>
          <w:sz w:val="20"/>
        </w:rPr>
        <w:t>US Tech Support:</w:t>
      </w:r>
      <w:r>
        <w:rPr>
          <w:rFonts w:ascii="Calibri" w:hAnsi="Calibri"/>
          <w:sz w:val="20"/>
        </w:rPr>
        <w:t xml:space="preserve"> 28.8 hours (45.1%) at $125/hr remote, plus 6.2 hours onsite at $150–200/hr billed separately.</w:t>
      </w:r>
    </w:p>
    <w:p>
      <w:pPr>
        <w:pStyle w:val="ListBullet"/>
        <w:spacing w:after="40"/>
      </w:pPr>
      <w:r>
        <w:rPr>
          <w:rFonts w:ascii="Calibri" w:hAnsi="Calibri"/>
          <w:b/>
          <w:sz w:val="20"/>
        </w:rPr>
        <w:t>Offshore US Overnight (NH):</w:t>
      </w:r>
      <w:r>
        <w:rPr>
          <w:rFonts w:ascii="Calibri" w:hAnsi="Calibri"/>
          <w:sz w:val="20"/>
        </w:rPr>
        <w:t xml:space="preserve"> 15.0 hours (23.5%) at $15/hr — overnight monitoring and maintenance (India daytime = US overnight).</w:t>
      </w:r>
    </w:p>
    <w:p>
      <w:pPr>
        <w:pStyle w:val="ListBullet"/>
        <w:spacing w:after="40"/>
      </w:pPr>
      <w:r>
        <w:rPr>
          <w:rFonts w:ascii="Calibri" w:hAnsi="Calibri"/>
          <w:b/>
          <w:sz w:val="20"/>
        </w:rPr>
        <w:t>Offshore US Daytime (AH):</w:t>
      </w:r>
      <w:r>
        <w:rPr>
          <w:rFonts w:ascii="Calibri" w:hAnsi="Calibri"/>
          <w:sz w:val="20"/>
        </w:rPr>
        <w:t xml:space="preserve"> 20.0 hours (31.3%) at $30/hr — US daytime support (India night shift).</w:t>
      </w:r>
    </w:p>
    <w:p>
      <w:pPr>
        <w:pStyle w:val="ListBullet"/>
        <w:spacing w:after="40"/>
      </w:pPr>
      <w:r>
        <w:rPr>
          <w:rFonts w:ascii="Calibri" w:hAnsi="Calibri"/>
          <w:b/>
          <w:sz w:val="20"/>
        </w:rPr>
        <w:t>Onsite:</w:t>
      </w:r>
      <w:r>
        <w:rPr>
          <w:rFonts w:ascii="Calibri" w:hAnsi="Calibri"/>
          <w:sz w:val="20"/>
        </w:rPr>
        <w:t xml:space="preserve"> 6.2 hours across 4 visits — device onboarding (Jan), network troubleshooting (Nov–Dec).</w:t>
      </w:r>
    </w:p>
    <w:p>
      <w:pPr>
        <w:pStyle w:val="ListBullet"/>
        <w:spacing w:after="40"/>
      </w:pPr>
      <w:r>
        <w:rPr>
          <w:rFonts w:ascii="Calibri" w:hAnsi="Calibri"/>
          <w:b/>
          <w:sz w:val="20"/>
        </w:rPr>
        <w:t>Staffing Depth:</w:t>
      </w:r>
      <w:r>
        <w:rPr>
          <w:rFonts w:ascii="Calibri" w:hAnsi="Calibri"/>
          <w:sz w:val="20"/>
        </w:rPr>
        <w:t xml:space="preserve"> 15 unique technicians, with Gurdeep Kumar (25.1 hrs) and Hamid Yaghoubi (17.6 hrs) as primary resources.</w:t>
      </w:r>
    </w:p>
    <w:p>
      <w:pPr>
        <w:pStyle w:val="Heading2"/>
        <w:spacing w:before="200" w:after="80"/>
      </w:pPr>
      <w:r>
        <w:rPr>
          <w:b/>
          <w:color w:val="1F4E79"/>
          <w:sz w:val="26"/>
        </w:rPr>
        <w:t>1.3 Remote vs. Onsite Mix</w:t>
      </w:r>
    </w:p>
    <w:p>
      <w:pPr>
        <w:spacing w:after="80"/>
      </w:pPr>
      <w:r>
        <w:rPr>
          <w:rFonts w:ascii="Calibri" w:hAnsi="Calibri"/>
          <w:sz w:val="20"/>
        </w:rPr>
        <w:t>The model is 90.3% remote. 6.2 onsite hours were logged in 2025 across 4 visits, with 2.5 hours of drive time. Onsite visits covered device onboarding and network troubleshooting.</w:t>
      </w:r>
    </w:p>
    <w:p>
      <w:pPr>
        <w:pStyle w:val="Heading2"/>
        <w:spacing w:before="200" w:after="80"/>
      </w:pPr>
      <w:r>
        <w:rPr>
          <w:b/>
          <w:color w:val="1F4E79"/>
          <w:sz w:val="26"/>
        </w:rPr>
        <w:t>1.4 Services Billed Outside Monthly</w:t>
      </w:r>
    </w:p>
    <w:p>
      <w:pPr>
        <w:pStyle w:val="ListBullet"/>
        <w:spacing w:after="40"/>
      </w:pPr>
      <w:r>
        <w:rPr>
          <w:rFonts w:ascii="Calibri" w:hAnsi="Calibri"/>
          <w:b/>
          <w:sz w:val="20"/>
        </w:rPr>
        <w:t>Hourly / Onsite Labor ($1,075):</w:t>
      </w:r>
      <w:r>
        <w:rPr>
          <w:rFonts w:ascii="Calibri" w:hAnsi="Calibri"/>
          <w:sz w:val="20"/>
        </w:rPr>
        <w:t xml:space="preserve"> 4 onsite visits billed at $150–200/hr. January visit at $150/hr (2.5 hrs = $375); November and December visits at $150–200/hr ($700 combined).</w:t>
      </w:r>
    </w:p>
    <w:p>
      <w:r>
        <w:br w:type="page"/>
      </w:r>
    </w:p>
    <w:p>
      <w:pPr>
        <w:pStyle w:val="Heading1"/>
        <w:spacing w:before="240" w:after="120"/>
      </w:pPr>
      <w:r>
        <w:rPr>
          <w:b/>
          <w:color w:val="1F4E79"/>
          <w:sz w:val="32"/>
        </w:rPr>
        <w:t>Section 2: Effective Blended Rates</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Role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Contracted</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Hourly/Onsite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Total Billed</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Hours</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Blended</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US Tech Support</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$2,915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$1,075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$3,990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28.8</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$138.54</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Offshore Support</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$992</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$992</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35.0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$28.34</w:t>
            </w:r>
          </w:p>
        </w:tc>
      </w:tr>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ALL LABOR</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$3,907</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$1,075</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$4,982</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63.9</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$77.97</w:t>
            </w:r>
          </w:p>
        </w:tc>
      </w:tr>
    </w:tbl>
    <w:p>
      <w:pPr>
        <w:spacing w:after="80"/>
      </w:pPr>
      <w:r>
        <w:rPr>
          <w:rFonts w:ascii="Calibri" w:hAnsi="Calibri"/>
          <w:i/>
          <w:color w:val="666666"/>
          <w:sz w:val="18"/>
        </w:rPr>
        <w:t>Note: US Tech Support includes contracted remote hours ($125/hr) and separately billed onsite labor ($150–200/hr). Offshore support combines NH ($15/hr, 15.0 hrs) and AH ($30/hr, 20.0 hrs). The overall blended rate of $77.97/hr reflects a roughly 55:45 split between US and offshore labor — a significantly higher US Tech ratio than optimal for cost efficiency.</w:t>
      </w:r>
    </w:p>
    <w:p>
      <w:pPr>
        <w:spacing w:before="160" w:after="80"/>
      </w:pPr>
      <w:r>
        <w:rPr>
          <w:b/>
          <w:color w:val="1F4E79"/>
          <w:sz w:val="22"/>
        </w:rPr>
        <w:t>Rate Card</w:t>
      </w:r>
    </w:p>
    <w:tbl>
      <w:tblPr>
        <w:tblStyle w:val="TableGrid"/>
        <w:tblW w:type="auto" w:w="0"/>
        <w:jc w:val="center"/>
        <w:tblLook w:firstColumn="1" w:firstRow="1" w:lastColumn="0" w:lastRow="0" w:noHBand="0" w:noVBand="1" w:val="04A0"/>
      </w:tblPr>
      <w:tblGrid>
        <w:gridCol w:w="3475"/>
        <w:gridCol w:w="3475"/>
        <w:gridCol w:w="3475"/>
      </w:tblGrid>
      <w:tr>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Role / Tier</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Rate</w:t>
            </w:r>
          </w:p>
        </w:tc>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Coverage</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US Tech Support (Remote)</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$125.00/hr</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Escalations, advisory, complex issues</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US Tech Support (Onsite)</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$150–200/hr</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On-premises work (hourly)</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Offshore Support (US Overnight)</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$15.00/hr</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US overnight (India NH)</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Offshore Support (US Daytime)</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$30.00/hr</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US business hours (India AH)</w:t>
            </w:r>
          </w:p>
        </w:tc>
      </w:tr>
    </w:tbl>
    <w:p>
      <w:r>
        <w:br w:type="page"/>
      </w:r>
    </w:p>
    <w:p>
      <w:pPr>
        <w:pStyle w:val="Heading1"/>
        <w:spacing w:before="240" w:after="120"/>
      </w:pPr>
      <w:r>
        <w:rPr>
          <w:b/>
          <w:color w:val="1F4E79"/>
          <w:sz w:val="32"/>
        </w:rPr>
        <w:t>Section 3: Licensing &amp; Recurring Services</w:t>
      </w:r>
    </w:p>
    <w:p>
      <w:pPr>
        <w:pStyle w:val="Heading2"/>
        <w:spacing w:before="200" w:after="80"/>
      </w:pPr>
      <w:r>
        <w:rPr>
          <w:b/>
          <w:color w:val="1F4E79"/>
          <w:sz w:val="26"/>
        </w:rPr>
        <w:t>3.1 Monthly Managed Services Breakdown</w:t>
      </w:r>
    </w:p>
    <w:p>
      <w:pPr>
        <w:spacing w:after="80"/>
      </w:pPr>
      <w:r>
        <w:rPr>
          <w:rFonts w:ascii="Calibri" w:hAnsi="Calibri"/>
          <w:sz w:val="20"/>
        </w:rPr>
        <w:t>The monthly contract ($8,261/year, ~$688/month) covers both labor and managed services:</w:t>
      </w:r>
    </w:p>
    <w:tbl>
      <w:tblPr>
        <w:tblStyle w:val="TableGrid"/>
        <w:tblW w:type="auto" w:w="0"/>
        <w:jc w:val="center"/>
        <w:tblLook w:firstColumn="1" w:firstRow="1" w:lastColumn="0" w:lastRow="0" w:noHBand="0" w:noVBand="1" w:val="04A0"/>
      </w:tblPr>
      <w:tblGrid>
        <w:gridCol w:w="3475"/>
        <w:gridCol w:w="3475"/>
        <w:gridCol w:w="3475"/>
      </w:tblGrid>
      <w:tr>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 Category</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Annual</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Monthly</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Labor (US Tech + Offshore)</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$3,907</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$326</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Security &amp; Endpoint Protection</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$1,458</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$122</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Network Monitoring (Syslog/Health)</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$608</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$51</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Backup &amp; Storage</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$600</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Site Assessment</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$450</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$38</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Secure Internet Filtering</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$432</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$36</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Patch Management</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$324</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$27</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Pen Testing</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$266</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$22</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Remote Monitoring (MyRemote)</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$216</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w:t>
            </w:r>
          </w:p>
        </w:tc>
      </w:tr>
      <w:tr>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$8,261</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$688</w:t>
            </w:r>
          </w:p>
        </w:tc>
      </w:tr>
    </w:tbl>
    <w:p>
      <w:pPr>
        <w:spacing w:before="160" w:after="80"/>
      </w:pPr>
      <w:r>
        <w:rPr>
          <w:b/>
          <w:color w:val="1F4E79"/>
          <w:sz w:val="22"/>
        </w:rPr>
        <w:t>December 2025 Monthly Invoice — Key Line Items</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Qty</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Unit Rate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Monthly</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Category</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US Tech Support (IRV-TS1)</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1.4</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$125.00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$173</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Labor</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CrowdStrike — Desktop (AVD)</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$8.50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$77</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Security</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Site Assessment (SA)</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Assessment</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Backup Storage (TB-BSTR)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Backup</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Huntress — Desktop (AVMH)</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$45</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Security</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Offshore — US Daytime (AH)</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1.4</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$41</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Labor</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Offshore — US Overnight (NH)</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2.8</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$41</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Labor</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Syslog Monitoring (SSM)</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$36</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Health Monitoring (SHM)</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$36</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Secure Internet (SI)</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$4.00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$36</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Secure Internet</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Patch Management (PMW)</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$27</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Monitoring</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Pen Testing (RTPT)</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$3.50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$21</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Pen Testing</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My Remote (MR)</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Monitoring</w:t>
            </w:r>
          </w:p>
        </w:tc>
      </w:tr>
    </w:tbl>
    <w:p>
      <w:pPr>
        <w:pStyle w:val="Heading2"/>
        <w:spacing w:before="200" w:after="80"/>
      </w:pPr>
      <w:r>
        <w:rPr>
          <w:b/>
          <w:color w:val="1F4E79"/>
          <w:sz w:val="26"/>
        </w:rPr>
        <w:t>3.2 Security Stack Transition</w:t>
      </w:r>
    </w:p>
    <w:p>
      <w:pPr>
        <w:spacing w:after="80"/>
      </w:pPr>
      <w:r>
        <w:rPr>
          <w:rFonts w:ascii="Calibri" w:hAnsi="Calibri"/>
          <w:sz w:val="20"/>
        </w:rPr>
        <w:t>In May 2025, TALY’s secondary endpoint protection was transitioned from Malwarebytes (AVMD) to Huntress (AVMH) across all desktops. This upgrade provides stronger managed detection and response (MDR) capabilities alongside CrowdStrike’s primary EDR protection.</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Period</w:t>
            </w:r>
          </w:p>
        </w:tc>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CrowdStrike</w:t>
            </w:r>
          </w:p>
        </w:tc>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Secondary EDR</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Desktops</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Jan–Apr 2025</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CrowdStrike (AVD)</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Malwarebytes (AVMD)</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May–Dec 2025</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CrowdStrike (AVD)</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Huntress (AVMH)</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Mar 2026</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CrowdStrike (AVD)</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Huntress (AVMH)</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w:t>
            </w:r>
          </w:p>
        </w:tc>
      </w:tr>
    </w:tbl>
    <w:p>
      <w:r>
        <w:br w:type="page"/>
      </w:r>
    </w:p>
    <w:p>
      <w:pPr>
        <w:pStyle w:val="Heading2"/>
        <w:spacing w:before="200" w:after="80"/>
      </w:pPr>
      <w:r>
        <w:rPr>
          <w:b/>
          <w:color w:val="1F4E79"/>
          <w:sz w:val="26"/>
        </w:rPr>
        <w:t>3.3 Service Count Tracking: December 2025 vs. March 2026</w:t>
      </w:r>
    </w:p>
    <w:p>
      <w:pPr>
        <w:spacing w:after="80"/>
      </w:pPr>
      <w:r>
        <w:rPr>
          <w:rFonts w:ascii="Calibri" w:hAnsi="Calibri"/>
          <w:sz w:val="20"/>
        </w:rPr>
        <w:t>The following tables show the current 3/1/2026 service inventory alongside December 2025 counts. The March 2026 counts establish the current baseline for 2026 billing projections. Device counts decreased from 9 to 7 desktops as two systems were decommissioned.</w:t>
      </w:r>
    </w:p>
    <w:p>
      <w:pPr>
        <w:spacing w:before="160" w:after="80"/>
      </w:pPr>
      <w:r>
        <w:rPr>
          <w:b/>
          <w:color w:val="1F4E79"/>
          <w:sz w:val="22"/>
        </w:rPr>
        <w:t>Security &amp; Endpoint Protection</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3/1/26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Dec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Note</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CrowdStrike — Desktop</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2 desktops decommissioned</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Huntress — Desktop</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Matches CrowdStrike</w:t>
            </w:r>
          </w:p>
        </w:tc>
      </w:tr>
    </w:tbl>
    <w:p>
      <w:pPr>
        <w:spacing w:before="160" w:after="80"/>
      </w:pPr>
      <w:r>
        <w:rPr>
          <w:b/>
          <w:color w:val="1F4E79"/>
          <w:sz w:val="22"/>
        </w:rPr>
        <w:t>Monitoring &amp; Management</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3/1/26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Dec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Note</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Secure Internet</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Matches desktop count</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Patch Management</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Matches desktop count</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My Remote</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Matches desktop count</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Syslog Monitoring</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16</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Network device adjustment</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Health Monitoring</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16</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Network device adjustment</w:t>
            </w:r>
          </w:p>
        </w:tc>
      </w:tr>
    </w:tbl>
    <w:p>
      <w:pPr>
        <w:spacing w:before="160" w:after="80"/>
      </w:pPr>
      <w:r>
        <w:rPr>
          <w:b/>
          <w:color w:val="1F4E79"/>
          <w:sz w:val="22"/>
        </w:rPr>
        <w:t>Backup &amp; Other</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3/1/26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Dec Count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Note</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Backup Storage</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 TB</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 TB</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Flat</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Site Assessment</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Flat</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Pen Testing IPs</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Flat</w:t>
            </w:r>
          </w:p>
        </w:tc>
      </w:tr>
    </w:tbl>
    <w:p>
      <w:pPr>
        <w:spacing w:before="160" w:after="80"/>
      </w:pPr>
      <w:r>
        <w:rPr>
          <w:b/>
          <w:color w:val="1F4E79"/>
          <w:sz w:val="22"/>
        </w:rPr>
        <w:t>Pricing Changes (2026)</w:t>
      </w:r>
    </w:p>
    <w:p>
      <w:pPr>
        <w:spacing w:after="80"/>
      </w:pPr>
      <w:r>
        <w:rPr>
          <w:rFonts w:ascii="Calibri" w:hAnsi="Calibri"/>
          <w:sz w:val="20"/>
        </w:rPr>
        <w:t>Several per-unit rates increased in the 2026 contract cycle:</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Rate</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Rate</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Huntress (AVMH)</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$5.00/device</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$6.00/device</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+$1.00</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Secure Internet (SI)</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$4.00/device</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$6.00/device</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+$2.00</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Patch Management (PMW)</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$3.00/device</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$4.00/device</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+$1.00</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Pen Testing (RTPT)</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$3.50/IP</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$7.00/IP</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+$3.50</w:t>
            </w:r>
          </w:p>
        </w:tc>
      </w:tr>
    </w:tbl>
    <w:p>
      <w:pPr>
        <w:spacing w:before="160" w:after="80"/>
      </w:pPr>
      <w:r>
        <w:rPr>
          <w:b/>
          <w:color w:val="1F4E79"/>
          <w:sz w:val="22"/>
        </w:rPr>
        <w:t>Infrastructure Summary (3/1/2026)</w:t>
      </w:r>
    </w:p>
    <w:tbl>
      <w:tblPr>
        <w:tblStyle w:val="TableGrid"/>
        <w:tblW w:type="auto" w:w="0"/>
        <w:jc w:val="center"/>
        <w:tblLook w:firstColumn="1" w:firstRow="1" w:lastColumn="0" w:lastRow="0" w:noHBand="0" w:noVBand="1" w:val="04A0"/>
      </w:tblPr>
      <w:tblGrid>
        <w:gridCol w:w="3475"/>
        <w:gridCol w:w="3475"/>
        <w:gridCol w:w="3475"/>
      </w:tblGrid>
      <w:tr>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Category</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Count</w:t>
            </w:r>
          </w:p>
        </w:tc>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Detail</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Desktops</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Down from 9 (2 decommissioned)</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Network Devices</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16</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Monitored via Syslog/Health</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Backup Storage</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 TB</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Cloud backup</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Users</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w:t>
            </w:r>
          </w:p>
        </w:tc>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Active users</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Pen Test IPs</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w:t>
            </w:r>
          </w:p>
        </w:tc>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Real-time pen testing</w:t>
            </w:r>
          </w:p>
        </w:tc>
      </w:tr>
    </w:tbl>
    <w:p>
      <w:r>
        <w:br w:type="page"/>
      </w:r>
    </w:p>
    <w:p>
      <w:pPr>
        <w:pStyle w:val="Heading1"/>
        <w:spacing w:before="240" w:after="120"/>
      </w:pPr>
      <w:r>
        <w:rPr>
          <w:b/>
          <w:color w:val="1F4E79"/>
          <w:sz w:val="32"/>
        </w:rPr>
        <w:t>Section 4: Projects &amp; One-Time Spend (2025)</w:t>
      </w:r>
    </w:p>
    <w:p>
      <w:pPr>
        <w:spacing w:after="80"/>
      </w:pPr>
      <w:r>
        <w:rPr>
          <w:rFonts w:ascii="Calibri" w:hAnsi="Calibri"/>
          <w:sz w:val="20"/>
        </w:rPr>
        <w:t>Total non-contract spend in 2025 was $1,075, consisting entirely of hourly onsite labor.</w:t>
      </w:r>
    </w:p>
    <w:p>
      <w:pPr>
        <w:pStyle w:val="Heading2"/>
        <w:spacing w:before="200" w:after="80"/>
      </w:pPr>
      <w:r>
        <w:rPr>
          <w:b/>
          <w:color w:val="1F4E79"/>
          <w:sz w:val="26"/>
        </w:rPr>
        <w:t>4.1 Onsite Labor ($1,075)</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Visit</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Rate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Hours</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Amount</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Date</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Laptop &amp; Mac Mini Onboarding</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$150/hr</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2.5</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$375</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Jan 2025</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Network Troubleshooting (Nov)</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$200/hr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Nov 2025</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Network Troubleshooting (Nov)</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$200/hr</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$250</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Nov 2025</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Network / QNAP Work (Dec)</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$150/hr</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$150</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Dec 2025</w:t>
            </w:r>
          </w:p>
        </w:tc>
      </w:tr>
    </w:tbl>
    <w:p>
      <w:pPr>
        <w:spacing w:after="80"/>
      </w:pPr>
      <w:r>
        <w:rPr>
          <w:rFonts w:ascii="Calibri" w:hAnsi="Calibri"/>
          <w:i/>
          <w:color w:val="666666"/>
          <w:sz w:val="18"/>
        </w:rPr>
        <w:t>Note: All onsite work was billed hourly outside the monthly contract. The January visit was for device onboarding at $150/hr. November visits were billed at $200/hr (after-hours rate). No hardware purchases or project-based work occurred in 2025.</w:t>
      </w:r>
    </w:p>
    <w:p>
      <w:r>
        <w:br w:type="page"/>
      </w:r>
    </w:p>
    <w:p>
      <w:pPr>
        <w:pStyle w:val="Heading1"/>
        <w:spacing w:before="240" w:after="120"/>
      </w:pPr>
      <w:r>
        <w:rPr>
          <w:b/>
          <w:color w:val="1F4E79"/>
          <w:sz w:val="32"/>
        </w:rPr>
        <w:t>Section 5: Ticket Categorization (2025)</w:t>
      </w:r>
    </w:p>
    <w:p>
      <w:pPr>
        <w:spacing w:after="80"/>
      </w:pPr>
      <w:r>
        <w:rPr>
          <w:rFonts w:ascii="Calibri" w:hAnsi="Calibri"/>
          <w:sz w:val="20"/>
        </w:rPr>
        <w:t>All 54 unique tickets were categorized by analyzing ticket titles and descriptions:</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Category</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Tickets</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 Tix</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Hours</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 Hrs</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Avg Hrs</w:t>
            </w:r>
          </w:p>
        </w:tc>
        <w:tc>
          <w:tcPr>
            <w:tcW w:type="dxa" w:w="1489"/>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Proactive?</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Security Assessment &amp; Compliance</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14.8%</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13.0</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20.3%</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1.63</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Yes</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Backup &amp; Storage (QNAP)</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29.6%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11.4</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17.8%</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0.71</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Yes</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General IT Support</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11.3</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17.7%</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3.77</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Device Onboarding &amp; Setup</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8.8</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13.8%</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2.93</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File Access &amp; Remote Issues</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11.1%</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6.2</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9.7%</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1.03</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Network &amp; Connectivity</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5.5</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1.83</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Advisory / Touch Meetings</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7.4%</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3.0</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4.7%</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0.75</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Proactive</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Email &amp; Cloud Apps</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2.3</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0.77</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Security Agent Updates</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0.33</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Yes</w:t>
            </w:r>
          </w:p>
        </w:tc>
      </w:tr>
      <w:tr>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RMM &amp; Agent Maintenance</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5.6%</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0.8</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1.3%</w:t>
            </w:r>
          </w:p>
        </w:tc>
        <w:tc>
          <w:tcPr>
            <w:tcW w:type="dxa" w:w="1489"/>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0.27</w:t>
            </w:r>
          </w:p>
        </w:tc>
        <w:tc>
          <w:tcPr>
            <w:tcW w:type="dxa" w:w="1489"/>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Yes</w:t>
            </w:r>
          </w:p>
        </w:tc>
      </w:tr>
      <w:tr>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Patch Management</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3.7%</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0.6</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0.9%</w:t>
            </w:r>
          </w:p>
        </w:tc>
        <w:tc>
          <w:tcPr>
            <w:tcW w:type="dxa" w:w="1489"/>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0.30</w:t>
            </w:r>
          </w:p>
        </w:tc>
        <w:tc>
          <w:tcPr>
            <w:tcW w:type="dxa" w:w="1489"/>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Yes</w:t>
            </w:r>
          </w:p>
        </w:tc>
      </w:tr>
      <w:tr>
        <w:tc>
          <w:tcPr>
            <w:tcW w:type="dxa" w:w="1489"/>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54</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100%</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63.9</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100%</w:t>
            </w:r>
          </w:p>
        </w:tc>
        <w:tc>
          <w:tcPr>
            <w:tcW w:type="dxa" w:w="1489"/>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1.18</w:t>
            </w:r>
          </w:p>
        </w:tc>
        <w:tc>
          <w:tcPr>
            <w:tcW w:type="dxa" w:w="1489"/>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r>
          </w:p>
        </w:tc>
      </w:tr>
    </w:tbl>
    <w:p>
      <w:pPr>
        <w:pStyle w:val="Heading2"/>
        <w:spacing w:before="200" w:after="80"/>
      </w:pPr>
      <w:r>
        <w:rPr>
          <w:b/>
          <w:color w:val="1F4E79"/>
          <w:sz w:val="26"/>
        </w:rPr>
        <w:t>5.1 Key Observations</w:t>
      </w:r>
    </w:p>
    <w:p>
      <w:pPr>
        <w:spacing w:before="160" w:after="80"/>
      </w:pPr>
      <w:r>
        <w:rPr>
          <w:b/>
          <w:color w:val="1F4E79"/>
          <w:sz w:val="22"/>
        </w:rPr>
        <w:t>Backup &amp; Storage (QNAP) — 16 tickets (30%), 11.4 hours (18%)</w:t>
      </w:r>
    </w:p>
    <w:p>
      <w:pPr>
        <w:spacing w:after="80"/>
      </w:pPr>
      <w:r>
        <w:rPr>
          <w:rFonts w:ascii="Calibri" w:hAnsi="Calibri"/>
          <w:sz w:val="20"/>
        </w:rPr>
        <w:t>The largest category by ticket count. Most are proactive QNAP firmware upgrades and HBS3 sync verification tasks between the TALY NAS and Technijian DC. These are routine maintenance tasks — 8 QNAP firmware upgrades and 8 sync verification checks — each averaging under 1 hour.</w:t>
      </w:r>
    </w:p>
    <w:p>
      <w:pPr>
        <w:spacing w:before="160" w:after="80"/>
      </w:pPr>
      <w:r>
        <w:rPr>
          <w:b/>
          <w:color w:val="1F4E79"/>
          <w:sz w:val="22"/>
        </w:rPr>
        <w:t>Security Assessment &amp; Compliance — 8 tickets (15%), 13.0 hours (20%)</w:t>
      </w:r>
    </w:p>
    <w:p>
      <w:pPr>
        <w:spacing w:after="80"/>
      </w:pPr>
      <w:r>
        <w:rPr>
          <w:rFonts w:ascii="Calibri" w:hAnsi="Calibri"/>
          <w:sz w:val="20"/>
        </w:rPr>
        <w:t>Network Detective scans, risk report reviews, site assessments, and attack surface analysis. The most time-intensive category per ticket (1.63 hrs avg), reflecting the thoroughness of security assessments.</w:t>
      </w:r>
    </w:p>
    <w:p>
      <w:pPr>
        <w:spacing w:before="160" w:after="80"/>
      </w:pPr>
      <w:r>
        <w:rPr>
          <w:b/>
          <w:color w:val="1F4E79"/>
          <w:sz w:val="22"/>
        </w:rPr>
        <w:t>General IT Support — 3 tickets (6%), 11.3 hours (18%)</w:t>
      </w:r>
    </w:p>
    <w:p>
      <w:pPr>
        <w:spacing w:after="80"/>
      </w:pPr>
      <w:r>
        <w:rPr>
          <w:rFonts w:ascii="Calibri" w:hAnsi="Calibri"/>
          <w:sz w:val="20"/>
        </w:rPr>
        <w:t>Only 3 tickets but 11.3 hours, driven by the large "Re: Talley and Associates" ticket (12.1 hrs) in December — a comprehensive engagement covering tool installations, Time Machine backup setup, QNAP configuration, and EasyDMARC setup across multiple users.</w:t>
      </w:r>
    </w:p>
    <w:p>
      <w:r>
        <w:br w:type="page"/>
      </w:r>
    </w:p>
    <w:p>
      <w:pPr>
        <w:pStyle w:val="Heading1"/>
        <w:spacing w:before="240" w:after="120"/>
      </w:pPr>
      <w:r>
        <w:rPr>
          <w:b/>
          <w:color w:val="1F4E79"/>
          <w:sz w:val="32"/>
        </w:rPr>
        <w:t>Section 6: Service Metrics &amp; Trends</w:t>
      </w:r>
    </w:p>
    <w:p>
      <w:pPr>
        <w:pStyle w:val="Heading2"/>
        <w:spacing w:before="200" w:after="80"/>
      </w:pPr>
      <w:r>
        <w:rPr>
          <w:b/>
          <w:color w:val="1F4E79"/>
          <w:sz w:val="26"/>
        </w:rPr>
        <w:t>6.1 Monthly Ticket Volume &amp; Hours</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Month</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Tickets</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US Tech</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Offshore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Total Hrs</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Hrs/Ticket</w:t>
            </w:r>
          </w:p>
        </w:tc>
      </w:tr>
      <w:tr>
        <w:tc>
          <w:tcPr>
            <w:tcW w:type="dxa" w:w="1738"/>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Jan</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17</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14.1</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3.4</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17.5</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1.03</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Feb</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8</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0.5</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0.5</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0.06</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Mar</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3.4</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3.4</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1.13</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Apr</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0.75</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May</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4.6</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5.1</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0.64</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Jun</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2.2</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3.7</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0.93</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Jul</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3.3</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4.3</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0.86</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Aug</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1.8</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0.45</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Sep</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0.7</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0.7</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0.35</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Oct</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Nov</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1.17</w:t>
            </w:r>
          </w:p>
        </w:tc>
      </w:tr>
      <w:tr>
        <w:tc>
          <w:tcPr>
            <w:tcW w:type="dxa" w:w="1738"/>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Dec</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7</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5.8</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11.1</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16.9</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2.41</w:t>
            </w:r>
          </w:p>
        </w:tc>
      </w:tr>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Average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5.7</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2.4</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2.9</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5.3</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0.93</w:t>
            </w:r>
          </w:p>
        </w:tc>
      </w:tr>
    </w:tbl>
    <w:p>
      <w:pPr>
        <w:spacing w:after="80"/>
      </w:pPr>
      <w:r>
        <w:rPr>
          <w:rFonts w:ascii="Calibri" w:hAnsi="Calibri"/>
          <w:i/>
          <w:color w:val="666666"/>
          <w:sz w:val="18"/>
        </w:rPr>
        <w:t>January (17.5 hrs) and December (16.9 hrs) accounted for 54% of the year’s total hours. January was device onboarding; December was a comprehensive tool deployment and backup configuration project.</w:t>
      </w:r>
    </w:p>
    <w:p>
      <w:pPr>
        <w:pStyle w:val="Heading2"/>
        <w:spacing w:before="200" w:after="80"/>
      </w:pPr>
      <w:r>
        <w:rPr>
          <w:b/>
          <w:color w:val="1F4E79"/>
          <w:sz w:val="26"/>
        </w:rPr>
        <w:t>6.2 Notable Trends</w:t>
      </w:r>
    </w:p>
    <w:p>
      <w:pPr>
        <w:pStyle w:val="ListBullet"/>
        <w:spacing w:after="40"/>
      </w:pPr>
      <w:r>
        <w:rPr>
          <w:rFonts w:ascii="Calibri" w:hAnsi="Calibri"/>
          <w:b/>
          <w:sz w:val="20"/>
        </w:rPr>
        <w:t>Low Overall Volume:</w:t>
      </w:r>
      <w:r>
        <w:rPr>
          <w:rFonts w:ascii="Calibri" w:hAnsi="Calibri"/>
          <w:sz w:val="20"/>
        </w:rPr>
        <w:t xml:space="preserve"> 54 tickets and 63.9 hours across the full year — an average of ~5.3 hours/month. TALY is a small, stable environment that does not generate heavy support demand.</w:t>
      </w:r>
    </w:p>
    <w:p>
      <w:pPr>
        <w:pStyle w:val="ListBullet"/>
        <w:spacing w:after="40"/>
      </w:pPr>
      <w:r>
        <w:rPr>
          <w:rFonts w:ascii="Calibri" w:hAnsi="Calibri"/>
          <w:b/>
          <w:sz w:val="20"/>
        </w:rPr>
        <w:t>Proactive Work:</w:t>
      </w:r>
      <w:r>
        <w:rPr>
          <w:rFonts w:ascii="Calibri" w:hAnsi="Calibri"/>
          <w:sz w:val="20"/>
        </w:rPr>
        <w:t xml:space="preserve"> Approximately 50% of tickets are proactive (QNAP maintenance, security assessments, patching, agent updates). This is appropriate for a small environment.</w:t>
      </w:r>
    </w:p>
    <w:p>
      <w:pPr>
        <w:pStyle w:val="ListBullet"/>
        <w:spacing w:after="40"/>
      </w:pPr>
      <w:r>
        <w:rPr>
          <w:rFonts w:ascii="Calibri" w:hAnsi="Calibri"/>
          <w:b/>
          <w:sz w:val="20"/>
        </w:rPr>
        <w:t>US Tech Support Concentration:</w:t>
      </w:r>
      <w:r>
        <w:rPr>
          <w:rFonts w:ascii="Calibri" w:hAnsi="Calibri"/>
          <w:sz w:val="20"/>
        </w:rPr>
        <w:t xml:space="preserve"> 45% of all hours are US Tech Support at $125/hr. For a 7-desktop environment, this is disproportionately expensive. Most of this work (QNAP checks, file access troubleshooting, advisory meetings) can be handled by offshore support.</w:t>
      </w:r>
    </w:p>
    <w:p>
      <w:pPr>
        <w:pStyle w:val="ListBullet"/>
        <w:spacing w:after="40"/>
      </w:pPr>
      <w:r>
        <w:rPr>
          <w:rFonts w:ascii="Calibri" w:hAnsi="Calibri"/>
          <w:b/>
          <w:sz w:val="20"/>
        </w:rPr>
        <w:t>Seasonal Spikes:</w:t>
      </w:r>
      <w:r>
        <w:rPr>
          <w:rFonts w:ascii="Calibri" w:hAnsi="Calibri"/>
          <w:sz w:val="20"/>
        </w:rPr>
        <w:t xml:space="preserve"> January (17.5 hrs) and December (16.9 hrs) accounted for 54% of the year’s total hours, driven by device onboarding and a major tool deployment project respectively.</w:t>
      </w:r>
    </w:p>
    <w:p>
      <w:r>
        <w:br w:type="page"/>
      </w:r>
    </w:p>
    <w:p>
      <w:pPr>
        <w:pStyle w:val="Heading1"/>
        <w:spacing w:before="240" w:after="120"/>
      </w:pPr>
      <w:r>
        <w:rPr>
          <w:b/>
          <w:color w:val="1F4E79"/>
          <w:sz w:val="32"/>
        </w:rPr>
        <w:t>Section 7: Summary &amp; Cost Optimization Strategy</w:t>
      </w:r>
    </w:p>
    <w:p>
      <w:pPr>
        <w:spacing w:after="80"/>
      </w:pPr>
      <w:r>
        <w:rPr>
          <w:rFonts w:ascii="Calibri" w:hAnsi="Calibri"/>
          <w:sz w:val="20"/>
        </w:rPr>
        <w:t>TALY is a small, stable managed IT environment — 7 desktops, ~5 users, 16 network devices — generating modest support volume of 54 tickets and 63.9 hours in 2025.</w:t>
      </w:r>
    </w:p>
    <w:p>
      <w:pPr>
        <w:spacing w:after="80"/>
      </w:pPr>
      <w:r>
        <w:rPr>
          <w:rFonts w:ascii="Calibri" w:hAnsi="Calibri"/>
          <w:sz w:val="20"/>
        </w:rPr>
        <w:t>At $9,336 total spend (~$778/month), the per-user IT cost is approximately $1,867/year. This covers fully managed security (CrowdStrike + Huntress), backup, monitoring, patch management, pen testing, and support labor.</w:t>
      </w:r>
    </w:p>
    <w:p>
      <w:pPr>
        <w:spacing w:after="80"/>
      </w:pPr>
      <w:r>
        <w:rPr>
          <w:rFonts w:ascii="Calibri" w:hAnsi="Calibri"/>
          <w:sz w:val="20"/>
        </w:rPr>
        <w:t>The primary optimization opportunities are:</w:t>
      </w:r>
    </w:p>
    <w:p>
      <w:pPr>
        <w:pStyle w:val="ListBullet"/>
        <w:spacing w:after="40"/>
      </w:pPr>
      <w:r>
        <w:rPr>
          <w:rFonts w:ascii="Calibri" w:hAnsi="Calibri"/>
          <w:b/>
          <w:sz w:val="20"/>
        </w:rPr>
        <w:t>Shift Labor to Overnight:</w:t>
      </w:r>
      <w:r>
        <w:rPr>
          <w:rFonts w:ascii="Calibri" w:hAnsi="Calibri"/>
          <w:sz w:val="20"/>
        </w:rPr>
        <w:t xml:space="preserve"> US Tech Support accounts for 45% of hours at $125/hr. The majority of TALY’s work — QNAP maintenance, security scans, patching, agent updates — is proactive and can be performed during US overnight hours by the offshore team at $15/hr. This represents a potential 8x cost reduction on shifted hours.</w:t>
      </w:r>
    </w:p>
    <w:p>
      <w:pPr>
        <w:pStyle w:val="ListBullet"/>
        <w:spacing w:after="40"/>
      </w:pPr>
      <w:r>
        <w:rPr>
          <w:rFonts w:ascii="Calibri" w:hAnsi="Calibri"/>
          <w:b/>
          <w:sz w:val="20"/>
        </w:rPr>
        <w:t>Minimize US Tech Support:</w:t>
      </w:r>
      <w:r>
        <w:rPr>
          <w:rFonts w:ascii="Calibri" w:hAnsi="Calibri"/>
          <w:sz w:val="20"/>
        </w:rPr>
        <w:t xml:space="preserve"> After the current contract cycle, US Tech Support transitions to hourly billing only — reserved for the rare escalation or onsite visit. This removes the contracted US Tech allotment (~$2,915/yr) from the monthly invoice, replacing it with pay-per-use at $125/hr only when needed.</w:t>
      </w:r>
    </w:p>
    <w:p>
      <w:pPr>
        <w:pStyle w:val="ListBullet"/>
        <w:spacing w:after="40"/>
      </w:pPr>
      <w:r>
        <w:rPr>
          <w:rFonts w:ascii="Calibri" w:hAnsi="Calibri"/>
          <w:b/>
          <w:sz w:val="20"/>
        </w:rPr>
        <w:t>Move Offshore AH to NH:</w:t>
      </w:r>
      <w:r>
        <w:rPr>
          <w:rFonts w:ascii="Calibri" w:hAnsi="Calibri"/>
          <w:sz w:val="20"/>
        </w:rPr>
        <w:t xml:space="preserve"> The offshore AH hours ($30/hr, US daytime) should also be shifted to NH ($15/hr, US overnight) wherever possible. Most offshore work for TALY is already proactive maintenance that does not require real-time user interaction.</w:t>
      </w:r>
    </w:p>
    <w:p>
      <w:pPr>
        <w:pStyle w:val="ListBullet"/>
        <w:spacing w:after="40"/>
      </w:pPr>
      <w:r>
        <w:rPr>
          <w:rFonts w:ascii="Calibri" w:hAnsi="Calibri"/>
          <w:b/>
          <w:sz w:val="20"/>
        </w:rPr>
        <w:t>Device Count Reduction:</w:t>
      </w:r>
      <w:r>
        <w:rPr>
          <w:rFonts w:ascii="Calibri" w:hAnsi="Calibri"/>
          <w:sz w:val="20"/>
        </w:rPr>
        <w:t xml:space="preserve"> The reduction from 9 to 7 desktops decreases per-device service costs. Ensure billing reflects the current 7-desktop count.</w:t>
      </w:r>
    </w:p>
    <w:p>
      <w:pPr>
        <w:pStyle w:val="ListBullet"/>
        <w:spacing w:after="40"/>
      </w:pPr>
      <w:r>
        <w:rPr>
          <w:rFonts w:ascii="Calibri" w:hAnsi="Calibri"/>
          <w:b/>
          <w:sz w:val="20"/>
        </w:rPr>
        <w:t>Leverage Low Volume:</w:t>
      </w:r>
      <w:r>
        <w:rPr>
          <w:rFonts w:ascii="Calibri" w:hAnsi="Calibri"/>
          <w:sz w:val="20"/>
        </w:rPr>
        <w:t xml:space="preserve"> At ~5 hours/month average, TALY does not need significant contracted labor. A small offshore overnight allotment plus hourly US Tech billing is the most cost-effective model.</w:t>
      </w:r>
    </w:p>
    <w:p>
      <w:pPr>
        <w:pStyle w:val="Heading2"/>
        <w:spacing w:before="200" w:after="80"/>
      </w:pPr>
      <w:r>
        <w:rPr>
          <w:b/>
          <w:color w:val="1F4E79"/>
          <w:sz w:val="26"/>
        </w:rPr>
        <w:t>7.1 Billed vs. Actual — Support Cycle Analysis</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Role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Allotted/Mo</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Actual/Mo (Avg)</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Utilization</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Status</w:t>
            </w:r>
          </w:p>
        </w:tc>
      </w:tr>
      <w:tr>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US Tech ($125/hr)</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1.7 hrs</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2.4 hrs</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141%</w:t>
            </w:r>
          </w:p>
        </w:tc>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Over-utilized</w:t>
            </w:r>
          </w:p>
        </w:tc>
      </w:tr>
      <w:tr>
        <w:tc>
          <w:tcPr>
            <w:tcW w:type="dxa" w:w="2085"/>
            <w:tcBorders>
              <w:top w:val="single" w:sz="4" w:color="D0D0D0"/>
              <w:left w:val="single" w:sz="4" w:color="D0D0D0"/>
              <w:bottom w:val="single" w:sz="4" w:color="D0D0D0"/>
              <w:right w:val="single" w:sz="4" w:color="D0D0D0"/>
            </w:tcBorders>
            <w:shd w:fill="D5F5E3"/>
          </w:tcPr>
          <w:p>
            <w:pPr>
              <w:spacing w:before="20" w:after="20"/>
              <w:jc w:val="left"/>
            </w:pPr>
            <w:r/>
            <w:r>
              <w:rPr>
                <w:rFonts w:ascii="Calibri" w:hAnsi="Calibri"/>
                <w:b w:val="0"/>
                <w:color w:val="000000"/>
                <w:sz w:val="17"/>
              </w:rPr>
              <w:t>Offshore NH ($15/hr)</w:t>
            </w:r>
          </w:p>
        </w:tc>
        <w:tc>
          <w:tcPr>
            <w:tcW w:type="dxa" w:w="2085"/>
            <w:tcBorders>
              <w:top w:val="single" w:sz="4" w:color="D0D0D0"/>
              <w:left w:val="single" w:sz="4" w:color="D0D0D0"/>
              <w:bottom w:val="single" w:sz="4" w:color="D0D0D0"/>
              <w:right w:val="single" w:sz="4" w:color="D0D0D0"/>
            </w:tcBorders>
            <w:shd w:fill="D5F5E3"/>
          </w:tcPr>
          <w:p>
            <w:pPr>
              <w:spacing w:before="20" w:after="20"/>
              <w:jc w:val="right"/>
            </w:pPr>
            <w:r/>
            <w:r>
              <w:rPr>
                <w:rFonts w:ascii="Calibri" w:hAnsi="Calibri"/>
                <w:b w:val="0"/>
                <w:color w:val="000000"/>
                <w:sz w:val="17"/>
              </w:rPr>
              <w:t>2.8 hrs</w:t>
            </w:r>
          </w:p>
        </w:tc>
        <w:tc>
          <w:tcPr>
            <w:tcW w:type="dxa" w:w="2085"/>
            <w:tcBorders>
              <w:top w:val="single" w:sz="4" w:color="D0D0D0"/>
              <w:left w:val="single" w:sz="4" w:color="D0D0D0"/>
              <w:bottom w:val="single" w:sz="4" w:color="D0D0D0"/>
              <w:right w:val="single" w:sz="4" w:color="D0D0D0"/>
            </w:tcBorders>
            <w:shd w:fill="D5F5E3"/>
          </w:tcPr>
          <w:p>
            <w:pPr>
              <w:spacing w:before="20" w:after="20"/>
              <w:jc w:val="right"/>
            </w:pPr>
            <w:r/>
            <w:r>
              <w:rPr>
                <w:rFonts w:ascii="Calibri" w:hAnsi="Calibri"/>
                <w:b w:val="0"/>
                <w:color w:val="000000"/>
                <w:sz w:val="17"/>
              </w:rPr>
              <w:t>1.3 hrs</w:t>
            </w:r>
          </w:p>
        </w:tc>
        <w:tc>
          <w:tcPr>
            <w:tcW w:type="dxa" w:w="2085"/>
            <w:tcBorders>
              <w:top w:val="single" w:sz="4" w:color="D0D0D0"/>
              <w:left w:val="single" w:sz="4" w:color="D0D0D0"/>
              <w:bottom w:val="single" w:sz="4" w:color="D0D0D0"/>
              <w:right w:val="single" w:sz="4" w:color="D0D0D0"/>
            </w:tcBorders>
            <w:shd w:fill="D5F5E3"/>
          </w:tcPr>
          <w:p>
            <w:pPr>
              <w:spacing w:before="20" w:after="20"/>
              <w:jc w:val="right"/>
            </w:pPr>
            <w:r/>
            <w:r>
              <w:rPr>
                <w:rFonts w:ascii="Calibri" w:hAnsi="Calibri"/>
                <w:b w:val="0"/>
                <w:color w:val="000000"/>
                <w:sz w:val="17"/>
              </w:rPr>
              <w:t>45%</w:t>
            </w:r>
          </w:p>
        </w:tc>
        <w:tc>
          <w:tcPr>
            <w:tcW w:type="dxa" w:w="2085"/>
            <w:tcBorders>
              <w:top w:val="single" w:sz="4" w:color="D0D0D0"/>
              <w:left w:val="single" w:sz="4" w:color="D0D0D0"/>
              <w:bottom w:val="single" w:sz="4" w:color="D0D0D0"/>
              <w:right w:val="single" w:sz="4" w:color="D0D0D0"/>
            </w:tcBorders>
            <w:shd w:fill="D5F5E3"/>
          </w:tcPr>
          <w:p>
            <w:pPr>
              <w:spacing w:before="20" w:after="20"/>
              <w:jc w:val="left"/>
            </w:pPr>
            <w:r/>
            <w:r>
              <w:rPr>
                <w:rFonts w:ascii="Calibri" w:hAnsi="Calibri"/>
                <w:b w:val="0"/>
                <w:color w:val="000000"/>
                <w:sz w:val="17"/>
              </w:rPr>
              <w:t>Under-utilized</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Offshore AH ($30/hr)</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1.4 hrs</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1.7 hrs</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119%</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Slightly over</w:t>
            </w:r>
          </w:p>
        </w:tc>
      </w:tr>
    </w:tbl>
    <w:p>
      <w:pPr>
        <w:spacing w:after="80"/>
      </w:pPr>
      <w:r>
        <w:rPr>
          <w:rFonts w:ascii="Calibri" w:hAnsi="Calibri"/>
          <w:b/>
          <w:sz w:val="20"/>
        </w:rPr>
        <w:t xml:space="preserve">Key Finding: </w:t>
      </w:r>
      <w:r>
        <w:rPr>
          <w:rFonts w:ascii="Calibri" w:hAnsi="Calibri"/>
          <w:sz w:val="20"/>
        </w:rPr>
        <w:t>US Tech Support is over-utilized at 141% while Offshore NH is only at 45% utilization. This confirms the opportunity to shift work from US Tech ($125/hr) to Offshore NH ($15/hr). The Offshore NH allotment is being underused — exactly the capacity that should absorb more of TALY’s routine work.</w:t>
      </w:r>
    </w:p>
    <w:p>
      <w:r>
        <w:br w:type="page"/>
      </w:r>
    </w:p>
    <w:p>
      <w:pPr>
        <w:pStyle w:val="Heading1"/>
        <w:spacing w:before="240" w:after="120"/>
      </w:pPr>
      <w:r>
        <w:rPr>
          <w:b/>
          <w:color w:val="1F4E79"/>
          <w:sz w:val="32"/>
        </w:rPr>
        <w:t>Section 8: 2026 Budget Projections</w:t>
      </w:r>
    </w:p>
    <w:p>
      <w:pPr>
        <w:pStyle w:val="Heading2"/>
        <w:spacing w:before="200" w:after="80"/>
      </w:pPr>
      <w:r>
        <w:rPr>
          <w:b/>
          <w:color w:val="1F4E79"/>
          <w:sz w:val="26"/>
        </w:rPr>
        <w:t>8.1 Cost Optimization Strategy</w:t>
      </w:r>
    </w:p>
    <w:p>
      <w:pPr>
        <w:spacing w:after="80"/>
      </w:pPr>
      <w:r>
        <w:rPr>
          <w:rFonts w:ascii="Calibri" w:hAnsi="Calibri"/>
          <w:sz w:val="20"/>
        </w:rPr>
        <w:t>The 2026 strategy for TALY focuses on three levers to reduce costs:</w:t>
      </w:r>
    </w:p>
    <w:p>
      <w:pPr>
        <w:spacing w:before="160" w:after="80"/>
      </w:pPr>
      <w:r>
        <w:rPr>
          <w:b/>
          <w:color w:val="1F4E79"/>
          <w:sz w:val="22"/>
        </w:rPr>
        <w:t>1. Move Work to Overnight ($15/hr)</w:t>
      </w:r>
    </w:p>
    <w:p>
      <w:pPr>
        <w:spacing w:after="80"/>
      </w:pPr>
      <w:r>
        <w:rPr>
          <w:rFonts w:ascii="Calibri" w:hAnsi="Calibri"/>
          <w:sz w:val="20"/>
        </w:rPr>
        <w:t>The bulk of TALY’s support work is proactive — QNAP maintenance, security assessments, firmware upgrades, patching, and agent updates. None of this requires real-time user interaction. By routing these tasks to the offshore overnight team (India daytime = US overnight at $15/hr), the cost per hour drops from $30–$125 down to $15.</w:t>
      </w:r>
    </w:p>
    <w:p>
      <w:pPr>
        <w:spacing w:before="160" w:after="80"/>
      </w:pPr>
      <w:r>
        <w:rPr>
          <w:b/>
          <w:color w:val="1F4E79"/>
          <w:sz w:val="22"/>
        </w:rPr>
        <w:t>2. Minimize US Tech Support</w:t>
      </w:r>
    </w:p>
    <w:p>
      <w:pPr>
        <w:spacing w:after="80"/>
      </w:pPr>
      <w:r>
        <w:rPr>
          <w:rFonts w:ascii="Calibri" w:hAnsi="Calibri"/>
          <w:sz w:val="20"/>
        </w:rPr>
        <w:t>After the current contract cycle, US Tech Support transitions from contracted to hourly billing only. This eliminates the ~$173/month contracted US Tech allotment. US Tech is reserved for:</w:t>
      </w:r>
    </w:p>
    <w:p>
      <w:pPr>
        <w:pStyle w:val="ListBullet"/>
        <w:spacing w:after="40"/>
      </w:pPr>
      <w:r>
        <w:rPr>
          <w:rFonts w:ascii="Calibri" w:hAnsi="Calibri"/>
          <w:sz w:val="20"/>
        </w:rPr>
        <w:t>Onsite visits (hardware, network)</w:t>
      </w:r>
    </w:p>
    <w:p>
      <w:pPr>
        <w:pStyle w:val="ListBullet"/>
        <w:spacing w:after="40"/>
      </w:pPr>
      <w:r>
        <w:rPr>
          <w:rFonts w:ascii="Calibri" w:hAnsi="Calibri"/>
          <w:sz w:val="20"/>
        </w:rPr>
        <w:t>Complex escalations requiring US-based expertise</w:t>
      </w:r>
    </w:p>
    <w:p>
      <w:pPr>
        <w:pStyle w:val="ListBullet"/>
        <w:spacing w:after="40"/>
      </w:pPr>
      <w:r>
        <w:rPr>
          <w:rFonts w:ascii="Calibri" w:hAnsi="Calibri"/>
          <w:sz w:val="20"/>
        </w:rPr>
        <w:t>Billed at $125/hr remote or $150–200/hr onsite, only when used</w:t>
      </w:r>
    </w:p>
    <w:p>
      <w:pPr>
        <w:spacing w:before="160" w:after="80"/>
      </w:pPr>
      <w:r>
        <w:rPr>
          <w:b/>
          <w:color w:val="1F4E79"/>
          <w:sz w:val="22"/>
        </w:rPr>
        <w:t>3. Keep Per-Device Costs Low</w:t>
      </w:r>
    </w:p>
    <w:p>
      <w:pPr>
        <w:spacing w:after="80"/>
      </w:pPr>
      <w:r>
        <w:rPr>
          <w:rFonts w:ascii="Calibri" w:hAnsi="Calibri"/>
          <w:sz w:val="20"/>
        </w:rPr>
        <w:t>The reduction from 9 to 7 desktops saves approximately $50–60/month on per-device services. Pricing increases on some services (Huntress, SI, PMW, Pen Testing) partially offset this reduction.</w:t>
      </w:r>
    </w:p>
    <w:p>
      <w:pPr>
        <w:pStyle w:val="Heading2"/>
        <w:spacing w:before="200" w:after="80"/>
      </w:pPr>
      <w:r>
        <w:rPr>
          <w:b/>
          <w:color w:val="1F4E79"/>
          <w:sz w:val="26"/>
        </w:rPr>
        <w:t>8.2 Service Cost Projections</w:t>
      </w:r>
    </w:p>
    <w:p>
      <w:pPr>
        <w:spacing w:before="160" w:after="80"/>
      </w:pPr>
      <w:r>
        <w:rPr>
          <w:b/>
          <w:color w:val="1F4E79"/>
          <w:sz w:val="22"/>
        </w:rPr>
        <w:t>Per-Device Services (7 desktops)</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Rate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Rate</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Qty</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Monthly</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Annual</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CrowdStrike (AVD)</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$8.50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$8.50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$59.50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$714</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Huntress (AVMH)</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$42.00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$504</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Secure Internet (SI)</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$42.00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$504</w:t>
            </w:r>
          </w:p>
        </w:tc>
      </w:tr>
      <w:tr>
        <w:tc>
          <w:tcPr>
            <w:tcW w:type="dxa" w:w="1738"/>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Patch Management (PMW)</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$28.00</w:t>
            </w:r>
          </w:p>
        </w:tc>
        <w:tc>
          <w:tcPr>
            <w:tcW w:type="dxa" w:w="1738"/>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$336</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My Remote (MR)</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$14.00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$168</w:t>
            </w:r>
          </w:p>
        </w:tc>
      </w:tr>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Desktop subtotal</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$185.50</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$2,226</w:t>
            </w:r>
          </w:p>
        </w:tc>
      </w:tr>
    </w:tbl>
    <w:p>
      <w:pPr>
        <w:spacing w:before="160" w:after="80"/>
      </w:pPr>
      <w:r>
        <w:rPr>
          <w:b/>
          <w:color w:val="1F4E79"/>
          <w:sz w:val="22"/>
        </w:rPr>
        <w:t>Fixed / Network Services</w:t>
      </w:r>
    </w:p>
    <w:tbl>
      <w:tblPr>
        <w:tblStyle w:val="TableGrid"/>
        <w:tblW w:type="auto" w:w="0"/>
        <w:jc w:val="center"/>
        <w:tblLook w:firstColumn="1" w:firstRow="1" w:lastColumn="0" w:lastRow="0" w:noHBand="0" w:noVBand="1" w:val="04A0"/>
      </w:tblPr>
      <w:tblGrid>
        <w:gridCol w:w="3475"/>
        <w:gridCol w:w="3475"/>
        <w:gridCol w:w="3475"/>
      </w:tblGrid>
      <w:tr>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Service</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Monthly</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Annual</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Backup Storage (1 TB)</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$50.00</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$600</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Site Assessment</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$50.00</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$600</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Pen Testing (6 IPs)</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$42.00</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$504</w:t>
            </w:r>
          </w:p>
        </w:tc>
      </w:tr>
      <w:tr>
        <w:tc>
          <w:tcPr>
            <w:tcW w:type="dxa" w:w="347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Syslog Monitoring (16 devices)</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$32.00</w:t>
            </w:r>
          </w:p>
        </w:tc>
        <w:tc>
          <w:tcPr>
            <w:tcW w:type="dxa" w:w="347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$384</w:t>
            </w:r>
          </w:p>
        </w:tc>
      </w:tr>
      <w:tr>
        <w:tc>
          <w:tcPr>
            <w:tcW w:type="dxa" w:w="347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Health Monitoring (16 devices)</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$32.00</w:t>
            </w:r>
          </w:p>
        </w:tc>
        <w:tc>
          <w:tcPr>
            <w:tcW w:type="dxa" w:w="347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$384</w:t>
            </w:r>
          </w:p>
        </w:tc>
      </w:tr>
      <w:tr>
        <w:tc>
          <w:tcPr>
            <w:tcW w:type="dxa" w:w="347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Network/fixed subtotal</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$206.00</w:t>
            </w:r>
          </w:p>
        </w:tc>
        <w:tc>
          <w:tcPr>
            <w:tcW w:type="dxa" w:w="347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$2,472</w:t>
            </w:r>
          </w:p>
        </w:tc>
      </w:tr>
    </w:tbl>
    <w:p>
      <w:pPr>
        <w:spacing w:after="80"/>
      </w:pPr>
      <w:r>
        <w:rPr>
          <w:rFonts w:ascii="Calibri" w:hAnsi="Calibri"/>
          <w:b/>
          <w:sz w:val="20"/>
        </w:rPr>
        <w:t xml:space="preserve">Total Managed Services: </w:t>
      </w:r>
      <w:r>
        <w:rPr>
          <w:rFonts w:ascii="Calibri" w:hAnsi="Calibri"/>
          <w:sz w:val="20"/>
        </w:rPr>
        <w:t>$391.50/month ($4,698/year)</w:t>
      </w:r>
    </w:p>
    <w:p>
      <w:pPr>
        <w:pStyle w:val="Heading2"/>
        <w:spacing w:before="200" w:after="80"/>
      </w:pPr>
      <w:r>
        <w:rPr>
          <w:b/>
          <w:color w:val="1F4E79"/>
          <w:sz w:val="26"/>
        </w:rPr>
        <w:t>8.3 Labor Projections — Optimized Model</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Component</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Actual</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Optimized</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w:t>
            </w:r>
          </w:p>
        </w:tc>
      </w:tr>
      <w:tr>
        <w:tc>
          <w:tcPr>
            <w:tcW w:type="dxa" w:w="2606"/>
            <w:tcBorders>
              <w:top w:val="single" w:sz="4" w:color="D0D0D0"/>
              <w:left w:val="single" w:sz="4" w:color="D0D0D0"/>
              <w:bottom w:val="single" w:sz="4" w:color="D0D0D0"/>
              <w:right w:val="single" w:sz="4" w:color="D0D0D0"/>
            </w:tcBorders>
            <w:shd w:fill="D5F5E3"/>
          </w:tcPr>
          <w:p>
            <w:pPr>
              <w:spacing w:before="20" w:after="20"/>
              <w:jc w:val="left"/>
            </w:pPr>
            <w:r/>
            <w:r>
              <w:rPr>
                <w:rFonts w:ascii="Calibri" w:hAnsi="Calibri"/>
                <w:b w:val="0"/>
                <w:color w:val="000000"/>
                <w:sz w:val="17"/>
              </w:rPr>
              <w:t>US Tech Support (contracted)</w:t>
            </w:r>
          </w:p>
        </w:tc>
        <w:tc>
          <w:tcPr>
            <w:tcW w:type="dxa" w:w="2606"/>
            <w:tcBorders>
              <w:top w:val="single" w:sz="4" w:color="D0D0D0"/>
              <w:left w:val="single" w:sz="4" w:color="D0D0D0"/>
              <w:bottom w:val="single" w:sz="4" w:color="D0D0D0"/>
              <w:right w:val="single" w:sz="4" w:color="D0D0D0"/>
            </w:tcBorders>
            <w:shd w:fill="D5F5E3"/>
          </w:tcPr>
          <w:p>
            <w:pPr>
              <w:spacing w:before="20" w:after="20"/>
              <w:jc w:val="right"/>
            </w:pPr>
            <w:r/>
            <w:r>
              <w:rPr>
                <w:rFonts w:ascii="Calibri" w:hAnsi="Calibri"/>
                <w:b w:val="0"/>
                <w:color w:val="000000"/>
                <w:sz w:val="17"/>
              </w:rPr>
              <w:t>$2,915</w:t>
            </w:r>
          </w:p>
        </w:tc>
        <w:tc>
          <w:tcPr>
            <w:tcW w:type="dxa" w:w="2606"/>
            <w:tcBorders>
              <w:top w:val="single" w:sz="4" w:color="D0D0D0"/>
              <w:left w:val="single" w:sz="4" w:color="D0D0D0"/>
              <w:bottom w:val="single" w:sz="4" w:color="D0D0D0"/>
              <w:right w:val="single" w:sz="4" w:color="D0D0D0"/>
            </w:tcBorders>
            <w:shd w:fill="D5F5E3"/>
          </w:tcPr>
          <w:p>
            <w:pPr>
              <w:spacing w:before="20" w:after="20"/>
              <w:jc w:val="right"/>
            </w:pPr>
            <w:r/>
            <w:r>
              <w:rPr>
                <w:rFonts w:ascii="Calibri" w:hAnsi="Calibri"/>
                <w:b w:val="0"/>
                <w:color w:val="000000"/>
                <w:sz w:val="17"/>
              </w:rPr>
              <w:t>$0</w:t>
            </w:r>
          </w:p>
        </w:tc>
        <w:tc>
          <w:tcPr>
            <w:tcW w:type="dxa" w:w="2606"/>
            <w:tcBorders>
              <w:top w:val="single" w:sz="4" w:color="D0D0D0"/>
              <w:left w:val="single" w:sz="4" w:color="D0D0D0"/>
              <w:bottom w:val="single" w:sz="4" w:color="D0D0D0"/>
              <w:right w:val="single" w:sz="4" w:color="D0D0D0"/>
            </w:tcBorders>
            <w:shd w:fill="D5F5E3"/>
          </w:tcPr>
          <w:p>
            <w:pPr>
              <w:spacing w:before="20" w:after="20"/>
              <w:jc w:val="right"/>
            </w:pPr>
            <w:r/>
            <w:r>
              <w:rPr>
                <w:rFonts w:ascii="Calibri" w:hAnsi="Calibri"/>
                <w:b w:val="0"/>
                <w:color w:val="000000"/>
                <w:sz w:val="17"/>
              </w:rPr>
              <w:t>-$2,915</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US Tech Support (hourly, est.)</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$1,075</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$750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-$325</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Offshore NH ($15/hr)</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$495</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$1,080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+$585</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Offshore AH ($30/hr)</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$497</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$360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-$137</w:t>
            </w:r>
          </w:p>
        </w:tc>
      </w:tr>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 Labor</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$4,982</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$2,190</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-$2,792</w:t>
            </w:r>
          </w:p>
        </w:tc>
      </w:tr>
    </w:tbl>
    <w:p>
      <w:pPr>
        <w:pStyle w:val="ListBullet"/>
        <w:spacing w:after="40"/>
      </w:pPr>
      <w:r>
        <w:rPr>
          <w:rFonts w:ascii="Calibri" w:hAnsi="Calibri"/>
          <w:b/>
          <w:sz w:val="20"/>
        </w:rPr>
        <w:t>US Tech:</w:t>
      </w:r>
      <w:r>
        <w:rPr>
          <w:rFonts w:ascii="Calibri" w:hAnsi="Calibri"/>
          <w:sz w:val="20"/>
        </w:rPr>
        <w:t xml:space="preserve"> US Tech contracts out after current cycle; estimated 6 hours/year onsite at $125/hr = $750.</w:t>
      </w:r>
    </w:p>
    <w:p>
      <w:pPr>
        <w:pStyle w:val="ListBullet"/>
        <w:spacing w:after="40"/>
      </w:pPr>
      <w:r>
        <w:rPr>
          <w:rFonts w:ascii="Calibri" w:hAnsi="Calibri"/>
          <w:b/>
          <w:sz w:val="20"/>
        </w:rPr>
        <w:t>Offshore NH:</w:t>
      </w:r>
      <w:r>
        <w:rPr>
          <w:rFonts w:ascii="Calibri" w:hAnsi="Calibri"/>
          <w:sz w:val="20"/>
        </w:rPr>
        <w:t xml:space="preserve"> Increases to 6 hrs/month ($90/mo) to absorb shifted work.</w:t>
      </w:r>
    </w:p>
    <w:p>
      <w:pPr>
        <w:pStyle w:val="ListBullet"/>
        <w:spacing w:after="40"/>
      </w:pPr>
      <w:r>
        <w:rPr>
          <w:rFonts w:ascii="Calibri" w:hAnsi="Calibri"/>
          <w:b/>
          <w:sz w:val="20"/>
        </w:rPr>
        <w:t>Offshore AH:</w:t>
      </w:r>
      <w:r>
        <w:rPr>
          <w:rFonts w:ascii="Calibri" w:hAnsi="Calibri"/>
          <w:sz w:val="20"/>
        </w:rPr>
        <w:t xml:space="preserve"> Decreases to 1 hr/month ($30/mo) for minimal daytime coordination.</w:t>
      </w:r>
    </w:p>
    <w:p>
      <w:pPr>
        <w:pStyle w:val="ListBullet"/>
        <w:spacing w:after="40"/>
      </w:pPr>
      <w:r>
        <w:rPr>
          <w:rFonts w:ascii="Calibri" w:hAnsi="Calibri"/>
          <w:b/>
          <w:sz w:val="20"/>
        </w:rPr>
        <w:t>Work Shift:</w:t>
      </w:r>
      <w:r>
        <w:rPr>
          <w:rFonts w:ascii="Calibri" w:hAnsi="Calibri"/>
          <w:sz w:val="20"/>
        </w:rPr>
        <w:t xml:space="preserve"> Most proactive work (QNAP, patching, security scans, agent updates) moves to overnight.</w:t>
      </w:r>
    </w:p>
    <w:p>
      <w:pPr>
        <w:pStyle w:val="Heading2"/>
        <w:spacing w:before="200" w:after="80"/>
      </w:pPr>
      <w:r>
        <w:rPr>
          <w:b/>
          <w:color w:val="1F4E79"/>
          <w:sz w:val="26"/>
        </w:rPr>
        <w:t>8.4 Total 2026 Projection Summary</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Category</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Actual</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2026 Projected</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Managed Services</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$4,354</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$4,698</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+$344</w:t>
            </w:r>
          </w:p>
        </w:tc>
      </w:tr>
      <w:tr>
        <w:tc>
          <w:tcPr>
            <w:tcW w:type="dxa" w:w="2606"/>
            <w:tcBorders>
              <w:top w:val="single" w:sz="4" w:color="D0D0D0"/>
              <w:left w:val="single" w:sz="4" w:color="D0D0D0"/>
              <w:bottom w:val="single" w:sz="4" w:color="D0D0D0"/>
              <w:right w:val="single" w:sz="4" w:color="D0D0D0"/>
            </w:tcBorders>
            <w:shd w:fill="D5F5E3"/>
          </w:tcPr>
          <w:p>
            <w:pPr>
              <w:spacing w:before="20" w:after="20"/>
              <w:jc w:val="left"/>
            </w:pPr>
            <w:r/>
            <w:r>
              <w:rPr>
                <w:rFonts w:ascii="Calibri" w:hAnsi="Calibri"/>
                <w:b w:val="0"/>
                <w:color w:val="000000"/>
                <w:sz w:val="17"/>
              </w:rPr>
              <w:t>Contracted Labor</w:t>
            </w:r>
          </w:p>
        </w:tc>
        <w:tc>
          <w:tcPr>
            <w:tcW w:type="dxa" w:w="2606"/>
            <w:tcBorders>
              <w:top w:val="single" w:sz="4" w:color="D0D0D0"/>
              <w:left w:val="single" w:sz="4" w:color="D0D0D0"/>
              <w:bottom w:val="single" w:sz="4" w:color="D0D0D0"/>
              <w:right w:val="single" w:sz="4" w:color="D0D0D0"/>
            </w:tcBorders>
            <w:shd w:fill="D5F5E3"/>
          </w:tcPr>
          <w:p>
            <w:pPr>
              <w:spacing w:before="20" w:after="20"/>
              <w:jc w:val="right"/>
            </w:pPr>
            <w:r/>
            <w:r>
              <w:rPr>
                <w:rFonts w:ascii="Calibri" w:hAnsi="Calibri"/>
                <w:b w:val="0"/>
                <w:color w:val="000000"/>
                <w:sz w:val="17"/>
              </w:rPr>
              <w:t>$3,907</w:t>
            </w:r>
          </w:p>
        </w:tc>
        <w:tc>
          <w:tcPr>
            <w:tcW w:type="dxa" w:w="2606"/>
            <w:tcBorders>
              <w:top w:val="single" w:sz="4" w:color="D0D0D0"/>
              <w:left w:val="single" w:sz="4" w:color="D0D0D0"/>
              <w:bottom w:val="single" w:sz="4" w:color="D0D0D0"/>
              <w:right w:val="single" w:sz="4" w:color="D0D0D0"/>
            </w:tcBorders>
            <w:shd w:fill="D5F5E3"/>
          </w:tcPr>
          <w:p>
            <w:pPr>
              <w:spacing w:before="20" w:after="20"/>
              <w:jc w:val="right"/>
            </w:pPr>
            <w:r/>
            <w:r>
              <w:rPr>
                <w:rFonts w:ascii="Calibri" w:hAnsi="Calibri"/>
                <w:b w:val="0"/>
                <w:color w:val="000000"/>
                <w:sz w:val="17"/>
              </w:rPr>
              <w:t>$1,440</w:t>
            </w:r>
          </w:p>
        </w:tc>
        <w:tc>
          <w:tcPr>
            <w:tcW w:type="dxa" w:w="2606"/>
            <w:tcBorders>
              <w:top w:val="single" w:sz="4" w:color="D0D0D0"/>
              <w:left w:val="single" w:sz="4" w:color="D0D0D0"/>
              <w:bottom w:val="single" w:sz="4" w:color="D0D0D0"/>
              <w:right w:val="single" w:sz="4" w:color="D0D0D0"/>
            </w:tcBorders>
            <w:shd w:fill="D5F5E3"/>
          </w:tcPr>
          <w:p>
            <w:pPr>
              <w:spacing w:before="20" w:after="20"/>
              <w:jc w:val="right"/>
            </w:pPr>
            <w:r/>
            <w:r>
              <w:rPr>
                <w:rFonts w:ascii="Calibri" w:hAnsi="Calibri"/>
                <w:b w:val="0"/>
                <w:color w:val="000000"/>
                <w:sz w:val="17"/>
              </w:rPr>
              <w:t>-$2,467</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Hourly Labor</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$1,075</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$750</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-$325</w:t>
            </w:r>
          </w:p>
        </w:tc>
      </w:tr>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$9,336</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$6,888</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-$2,448 (-26.2%)</w:t>
            </w:r>
          </w:p>
        </w:tc>
      </w:tr>
    </w:tbl>
    <w:p>
      <w:pPr>
        <w:spacing w:after="80"/>
      </w:pPr>
      <w:r>
        <w:rPr>
          <w:rFonts w:ascii="Calibri" w:hAnsi="Calibri"/>
          <w:sz w:val="20"/>
        </w:rPr>
        <w:t>The optimized model projects a 26% cost reduction ($9,336 → $6,888) driven almost entirely by the labor restructuring. Managed services increase slightly (+$344) due to per-unit price increases on Huntress, Secure Internet, Patch Management, and Pen Testing, partially offset by the device count reduction (9 → 7 desktops). The labor savings of $2,792/year come from eliminating the contracted US Tech allotment and shifting work to $15/hr overnight support.</w:t>
      </w:r>
    </w:p>
    <w:p>
      <w:pPr>
        <w:spacing w:before="160" w:after="80"/>
      </w:pPr>
      <w:r>
        <w:rPr>
          <w:b/>
          <w:color w:val="1F4E79"/>
          <w:sz w:val="22"/>
        </w:rPr>
        <w:t>Key Assumptions</w:t>
      </w:r>
    </w:p>
    <w:p>
      <w:pPr>
        <w:pStyle w:val="ListBullet"/>
        <w:spacing w:after="40"/>
      </w:pPr>
      <w:r>
        <w:rPr>
          <w:rFonts w:ascii="Calibri" w:hAnsi="Calibri"/>
          <w:b/>
          <w:sz w:val="20"/>
        </w:rPr>
        <w:t>Labor:</w:t>
      </w:r>
      <w:r>
        <w:rPr>
          <w:rFonts w:ascii="Calibri" w:hAnsi="Calibri"/>
          <w:sz w:val="20"/>
        </w:rPr>
        <w:t xml:space="preserve"> US Tech moves to hourly after current cycle. Offshore NH absorbs routine work at 6 hrs/mo. Offshore AH reduced to 1 hr/mo.</w:t>
      </w:r>
    </w:p>
    <w:p>
      <w:pPr>
        <w:pStyle w:val="ListBullet"/>
        <w:spacing w:after="40"/>
      </w:pPr>
      <w:r>
        <w:rPr>
          <w:rFonts w:ascii="Calibri" w:hAnsi="Calibri"/>
          <w:b/>
          <w:sz w:val="20"/>
        </w:rPr>
        <w:t>Device Services:</w:t>
      </w:r>
      <w:r>
        <w:rPr>
          <w:rFonts w:ascii="Calibri" w:hAnsi="Calibri"/>
          <w:sz w:val="20"/>
        </w:rPr>
        <w:t xml:space="preserve"> Based on March 2026 counts (7 desktops, 16 network devices) at updated 2026 rates.</w:t>
      </w:r>
    </w:p>
    <w:p>
      <w:pPr>
        <w:pStyle w:val="ListBullet"/>
        <w:spacing w:after="40"/>
      </w:pPr>
      <w:r>
        <w:rPr>
          <w:rFonts w:ascii="Calibri" w:hAnsi="Calibri"/>
          <w:b/>
          <w:sz w:val="20"/>
        </w:rPr>
        <w:t>Infrastructure:</w:t>
      </w:r>
      <w:r>
        <w:rPr>
          <w:rFonts w:ascii="Calibri" w:hAnsi="Calibri"/>
          <w:sz w:val="20"/>
        </w:rPr>
        <w:t xml:space="preserve"> No changes to backup storage (1 TB), pen testing IPs (6), or site assessment.</w:t>
      </w:r>
    </w:p>
    <w:p>
      <w:pPr>
        <w:pStyle w:val="ListBullet"/>
        <w:spacing w:after="40"/>
      </w:pPr>
      <w:r>
        <w:rPr>
          <w:rFonts w:ascii="Calibri" w:hAnsi="Calibri"/>
          <w:b/>
          <w:sz w:val="20"/>
        </w:rPr>
        <w:t>Onsite:</w:t>
      </w:r>
      <w:r>
        <w:rPr>
          <w:rFonts w:ascii="Calibri" w:hAnsi="Calibri"/>
          <w:sz w:val="20"/>
        </w:rPr>
        <w:t xml:space="preserve"> Estimated 6 hours/year for rare hardware or network visits at $125/hr.</w:t>
      </w:r>
    </w:p>
    <w:p>
      <w:pPr>
        <w:pStyle w:val="ListBullet"/>
        <w:spacing w:after="40"/>
      </w:pPr>
      <w:r>
        <w:rPr>
          <w:rFonts w:ascii="Calibri" w:hAnsi="Calibri"/>
          <w:b/>
          <w:sz w:val="20"/>
        </w:rPr>
        <w:t>Volume:</w:t>
      </w:r>
      <w:r>
        <w:rPr>
          <w:rFonts w:ascii="Calibri" w:hAnsi="Calibri"/>
          <w:sz w:val="20"/>
        </w:rPr>
        <w:t xml:space="preserve"> Assumes similar volume to 2025 (~54 tickets, ~64 hours). If volume increases, the overnight model keeps incremental cost at $15/hr rather than $125/hr.</w:t>
      </w:r>
    </w:p>
    <w:sectPr w:rsidR="00FC693F" w:rsidRPr="0006063C" w:rsidSect="00034616">
      <w:headerReference w:type="default" r:id="rId9"/>
      <w:footerReference w:type="default" r:id="rId10"/>
      <w:pgSz w:w="12240" w:h="15840"/>
      <w:pgMar w:top="144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Technijian Inc.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666666"/>
        <w:sz w:val="16"/>
      </w:rPr>
      <w:t>TALY (Talley &amp; Associates) — 2025 IT Support Review &amp; 2026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