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Aventine at Aliso Viejo Apartments</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Aventine at Aliso Viejo Apartments during April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8</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6</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3 endpoint(s) with Microsoft Defender or firewall in a non-protected state; 1 endpoint(s) that have not phoned home in 30+ days.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April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6 of 8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4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Endpoints not phoning home (30+ days)</w:t>
      </w:r>
    </w:p>
    <w:tbl>
      <w:tblPr>
        <w:tblW w:type="auto" w:w="0"/>
        <w:tblLayout w:type="fixed"/>
        <w:tblLook w:firstColumn="1" w:firstRow="1" w:lastColumn="0" w:lastRow="0" w:noHBand="0" w:noVBand="1" w:val="04A0"/>
      </w:tblPr>
      <w:tblGrid>
        <w:gridCol w:w="2340"/>
        <w:gridCol w:w="2340"/>
        <w:gridCol w:w="2340"/>
        <w:gridCol w:w="2340"/>
      </w:tblGrid>
      <w:tr>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Seen</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Lenovo-PC</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2026-01-07</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bl>
    <w:p>
      <w:pPr>
        <w:spacing w:after="160"/>
      </w:pPr>
      <w:r>
        <w:rPr>
          <w:rFonts w:ascii="Open Sans" w:hAnsi="Open Sans"/>
          <w:b w:val="0"/>
          <w:i w:val="0"/>
          <w:color w:val="59595B"/>
          <w:sz w:val="22"/>
        </w:rPr>
        <w:t>Recommended action: confirm whether each computer is still in service. If retired or reimaged, please notify Technijian to decommission the agent. If still in service, the agent likely needs to be reinstalled or the device powered on.</w:t>
      </w:r>
    </w:p>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PATTY-Samsung</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DESKTOP-I7G1MM7</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Melsdesktop</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Real Estate / Property Management. Based on that classification, the data Technijian's stack is helping protect is most likely characterized as: PCI / Resident PII.</w:t>
      </w:r>
    </w:p>
    <w:p>
      <w:pPr>
        <w:spacing w:after="160"/>
      </w:pPr>
      <w:r>
        <w:rPr>
          <w:rFonts w:ascii="Open Sans" w:hAnsi="Open Sans"/>
          <w:b w:val="0"/>
          <w:i w:val="0"/>
          <w:color w:val="59595B"/>
          <w:sz w:val="21"/>
        </w:rPr>
        <w:t>Property managers process resident payments (rent, deposits, fees), triggering PCI DSS scope. Fair Housing Act records, applicant/resident PII, and California CCPA obligations all apply. Some clients also process credit/background checks bringing FCRA into scope.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pStyle w:val="ListBullet"/>
        <w:spacing w:after="80"/>
      </w:pPr>
      <w:r>
        <w:rPr>
          <w:rFonts w:ascii="Open Sans" w:hAnsi="Open Sans"/>
          <w:b/>
          <w:i w:val="0"/>
          <w:color w:val="1A1A2E"/>
          <w:sz w:val="22"/>
        </w:rPr>
        <w:t xml:space="preserve">Fair Housing Act: </w:t>
      </w:r>
      <w:r>
        <w:rPr>
          <w:rFonts w:ascii="Open Sans" w:hAnsi="Open Sans"/>
          <w:b w:val="0"/>
          <w:i w:val="0"/>
          <w:color w:val="59595B"/>
          <w:sz w:val="22"/>
        </w:rPr>
        <w:t>audit logs around resident applicant data demonstrate the non-discrimination and recordkeeping controls the Fair Housing Act requires.</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