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AAVA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34 patches across 5 AAVA endpoints — 34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AAVA's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AAVA_Patches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AAVA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Megan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Bus-Center-PC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DESKTOP-N6E84SS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Melsdesktop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DESKTOP-I7G1MM7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Oracle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20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dotnet-runtime-6.0.36-win-x64.exe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windowsdesktop-runtime-6.0.36-win-x64.exe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expressvpn_windows_12.104.0.128_release.exe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408c162b-fd3d-42e0-b89d-64357487a90c_0110812791a66ac77ad2fb8adc336c7cb6885300.cab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TeamViewer_Setup_15.74.3.exe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228b3e8a-0c81-49ef-a079-7d4627944b0e_59a950f8b5a12ebe92767065bc0a7b6ddd843bd7_PCI_VEN_8086_DEV_4690.cab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228b3e8a-0c81-49ef-a079-7d4627944b0e_59a950f8b5a12ebe92767065bc0a7b6ddd843bd7_PCI_VEN_8086_DEV_A721.cab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jre-8u481-windows-x64.exe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5f448083-ad9e-4e6c-bd98-d45323f49d62_1ccfe3dd5fb72e39ed86279f241698701184ceb4_PCI_VEN_8086_DEV_1A1C.cab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99388e04-cb13-4c20-b41c-a9b1add1df04_7133b4802489401a2092360de59ed5e390cf6af5_PCI_VEN_8086_DEV_9A78.cab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34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5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8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Real Estate / Property Management. Based on that classification, the data Technijian's stack is helping protect is most likely characterized as: PCI / 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Property managers process resident payments (rent, deposits, fees), triggering PCI DSS scope. Fair Housing Act records, applicant/resident PII, and California CCPA obligations all apply. Some clients also process credit/background checks bringing FCRA into scope.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'AAVA'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