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Algro International</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Algro International during April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26</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24</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1</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24 endpoint(s) with Microsoft Defender or firewall in a non-protected state; 1 endpoint(s) that have not phoned home in 30+ days.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Protected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April 2026, Huntress raised 1 incident report(s) and surfaced 1 signal(s) on your environment. Each one was reviewed by Technijian's security operations team and routed to the appropriate response track. The breakdown is below.</w:t>
      </w:r>
    </w:p>
    <w:p/>
    <w:p>
      <w:pPr>
        <w:spacing w:after="160"/>
      </w:pPr>
      <w:r>
        <w:rPr>
          <w:rFonts w:ascii="Open Sans" w:hAnsi="Open Sans"/>
          <w:b/>
          <w:i w:val="0"/>
          <w:color w:val="1A1A2E"/>
          <w:sz w:val="24"/>
        </w:rPr>
        <w:t>Incidents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Incident detail</w:t>
      </w:r>
    </w:p>
    <w:tbl>
      <w:tblPr>
        <w:tblW w:type="auto" w:w="0"/>
        <w:tblLayout w:type="fixed"/>
        <w:tblLook w:firstColumn="1" w:firstRow="1" w:lastColumn="0" w:lastRow="0" w:noHBand="0" w:noVBand="1" w:val="04A0"/>
      </w:tblPr>
      <w:tblGrid>
        <w:gridCol w:w="2340"/>
        <w:gridCol w:w="2340"/>
        <w:gridCol w:w="2340"/>
        <w:gridCol w:w="2340"/>
      </w:tblGrid>
      <w:tr>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c>
          <w:tcPr>
            <w:tcW w:type="dxa" w:w="48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Summary</w:t>
            </w:r>
          </w:p>
        </w:tc>
      </w:tr>
      <w:tr>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Sent</w:t>
            </w:r>
          </w:p>
        </w:tc>
        <w:tc>
          <w:tcPr>
            <w:tcW w:type="dxa" w:w="48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ALG-HQ-LPT-08 (ALG - Algro International)</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24 of 26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1 signal(s) and actioned 1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4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Endpoints not phoning home (30+ days)</w:t>
      </w:r>
    </w:p>
    <w:tbl>
      <w:tblPr>
        <w:tblW w:type="auto" w:w="0"/>
        <w:tblLayout w:type="fixed"/>
        <w:tblLook w:firstColumn="1" w:firstRow="1" w:lastColumn="0" w:lastRow="0" w:noHBand="0" w:noVBand="1" w:val="04A0"/>
      </w:tblPr>
      <w:tblGrid>
        <w:gridCol w:w="2340"/>
        <w:gridCol w:w="2340"/>
        <w:gridCol w:w="2340"/>
        <w:gridCol w:w="2340"/>
      </w:tblGrid>
      <w:tr>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Last Seen</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State</w:t>
            </w:r>
          </w:p>
        </w:tc>
      </w:tr>
      <w:tr>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DESKTOP-FU21OVS</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2026-03-24</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bl>
    <w:p>
      <w:pPr>
        <w:spacing w:after="160"/>
      </w:pPr>
      <w:r>
        <w:rPr>
          <w:rFonts w:ascii="Open Sans" w:hAnsi="Open Sans"/>
          <w:b w:val="0"/>
          <w:i w:val="0"/>
          <w:color w:val="59595B"/>
          <w:sz w:val="22"/>
        </w:rPr>
        <w:t>Recommended action: confirm whether each computer is still in service. If retired or reimaged, please notify Technijian to decommission the agent. If still in service, the agent likely needs to be reinstalled or the device powered on.</w:t>
      </w:r>
    </w:p>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ALG-HQ-LPT-09</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Olivefly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Hailey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ALG-HQ-LPT-14</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ALG-HQ-LPT-13</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ALG-HQ-LPT-12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ALG-HQ-LPT-10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ALG-HQ-LPT-08</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ALG-HQ-LPT-07</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DESKTOP-GC2H8I0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ALG-HQ-LPT-05</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ALG-HQ-LPT-06</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DESKTOP-0JAP2P2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ALG-HQ-LPT-04</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Smita</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DESKTOP-FU21OVS</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DESKTOP-UH62LRR</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Algro</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DESKTOP-8S6IF2G</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DeepakAlgro</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PreyaPatel</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General Business. Based on that classification, the data Technijian's stack is helping protect is most likely characterized as: Customer / employee PII.</w:t>
      </w:r>
    </w:p>
    <w:p>
      <w:pPr>
        <w:spacing w:after="160"/>
      </w:pPr>
      <w:r>
        <w:rPr>
          <w:rFonts w:ascii="Open Sans" w:hAnsi="Open Sans"/>
          <w:b w:val="0"/>
          <w:i w:val="0"/>
          <w:color w:val="59595B"/>
          <w:sz w:val="21"/>
        </w:rPr>
        <w:t>No clear industry signal in the client name — defaulting to general California business privacy law (CCPA) for any California-resident data the client processes. Tech can override the industry / compliance scope by editing this file.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