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Andersen Industries, Inc.</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Andersen Industries, Inc.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26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2016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2016 Datacenter</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Ultimate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 for Workstations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31 of 31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ANI-HQ-VBR-02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ANI-HQ-WINEDGE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WINDCHILLVIZ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VMANI-SDDJ</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VMANIOPT1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ANI-HQ-OPSPRB-01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ANI-HQ-VONE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VMANIDC02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ANI-HQ-SQL-01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VMANIWMS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VMANIPHOTO1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WS-AI-29</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VMANI-GSS1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WINDCHILL11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VMANITS1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Engineering / Manufacturing. Based on that classification, the data Technijian's stack is helping protect is most likely characterized as: Trade secrets / Customer PII.</w:t>
      </w:r>
    </w:p>
    <w:p>
      <w:pPr>
        <w:spacing w:after="160"/>
      </w:pPr>
      <w:r>
        <w:rPr>
          <w:rFonts w:ascii="Open Sans" w:hAnsi="Open Sans"/>
          <w:b w:val="0"/>
          <w:i w:val="0"/>
          <w:color w:val="59595B"/>
          <w:sz w:val="21"/>
        </w:rPr>
        <w:t>Engineering and manufacturing firms vary widely in compliance scope. Defense/aerospace work brings ITAR (export-controlled technical data) and CMMC (DoD contractor cybersecurity). Civilian manufacturing is typically governed by general privacy law and customer-imposed SOC 2 / NIST 800-171 requirements.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ITAR (if defense): </w:t>
      </w:r>
      <w:r>
        <w:rPr>
          <w:rFonts w:ascii="Open Sans" w:hAnsi="Open Sans"/>
          <w:b w:val="0"/>
          <w:i w:val="0"/>
          <w:color w:val="59595B"/>
          <w:sz w:val="22"/>
        </w:rPr>
        <w:t>endpoint controls and access logging help support ITAR §126 technical-data export controls when applicable to the customer's contract scope.</w:t>
      </w:r>
    </w:p>
    <w:p>
      <w:pPr>
        <w:pStyle w:val="ListBullet"/>
        <w:spacing w:after="80"/>
      </w:pPr>
      <w:r>
        <w:rPr>
          <w:rFonts w:ascii="Open Sans" w:hAnsi="Open Sans"/>
          <w:b/>
          <w:i w:val="0"/>
          <w:color w:val="1A1A2E"/>
          <w:sz w:val="22"/>
        </w:rPr>
        <w:t xml:space="preserve">CMMC (if DoD): </w:t>
      </w:r>
      <w:r>
        <w:rPr>
          <w:rFonts w:ascii="Open Sans" w:hAnsi="Open Sans"/>
          <w:b w:val="0"/>
          <w:i w:val="0"/>
          <w:color w:val="59595B"/>
          <w:sz w:val="22"/>
        </w:rPr>
        <w:t>Endpoint Central inventory, patch evidence, and EDR detection logs map to multiple CMMC Level 1 and Level 2 practices (AC, AU, CM, IR, SI domains).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