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Patch Management Activity</w:t>
      </w:r>
    </w:p>
    <w:p>
      <w:pPr>
        <w:spacing w:after="120"/>
        <w:jc w:val="center"/>
      </w:pPr>
      <w:r>
        <w:rPr>
          <w:rFonts w:ascii="Open Sans" w:hAnsi="Open Sans"/>
          <w:b w:val="0"/>
          <w:i w:val="0"/>
          <w:color w:val="59595B"/>
          <w:sz w:val="32"/>
        </w:rPr>
        <w:t>ANI — February 2026</w:t>
      </w:r>
    </w:p>
    <w:p>
      <w:pPr>
        <w:jc w:val="center"/>
      </w:pPr>
      <w:r>
        <w:rPr>
          <w:rFonts w:ascii="Open Sans" w:hAnsi="Open Sans"/>
          <w:b w:val="0"/>
          <w:i w:val="0"/>
          <w:color w:val="59595B"/>
          <w:sz w:val="24"/>
        </w:rPr>
        <w:t>Generated 2026-05-02</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for internal Technijian and client use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117</w:t>
            </w:r>
          </w:p>
          <w:p>
            <w:pPr>
              <w:spacing w:before="0" w:after="240"/>
              <w:jc w:val="center"/>
            </w:pPr>
            <w:r>
              <w:rPr>
                <w:rFonts w:ascii="Open Sans" w:hAnsi="Open Sans"/>
                <w:b w:val="0"/>
                <w:i w:val="0"/>
                <w:color w:val="59595B"/>
                <w:sz w:val="20"/>
              </w:rPr>
              <w:t>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24</w:t>
            </w:r>
          </w:p>
          <w:p>
            <w:pPr>
              <w:spacing w:before="0" w:after="240"/>
              <w:jc w:val="center"/>
            </w:pPr>
            <w:r>
              <w:rPr>
                <w:rFonts w:ascii="Open Sans" w:hAnsi="Open Sans"/>
                <w:b w:val="0"/>
                <w:i w:val="0"/>
                <w:color w:val="59595B"/>
                <w:sz w:val="20"/>
              </w:rPr>
              <w:t>Machines patched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Critical patches deployed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0</w:t>
            </w:r>
          </w:p>
          <w:p>
            <w:pPr>
              <w:spacing w:before="0" w:after="240"/>
              <w:jc w:val="center"/>
            </w:pPr>
            <w:r>
              <w:rPr>
                <w:rFonts w:ascii="Open Sans" w:hAnsi="Open Sans"/>
                <w:b w:val="0"/>
                <w:i w:val="0"/>
                <w:color w:val="59595B"/>
                <w:sz w:val="20"/>
              </w:rPr>
              <w:t>Hands-on remediations</w:t>
            </w:r>
          </w:p>
        </w:tc>
      </w:tr>
    </w:tbl>
    <w:p>
      <w:pPr>
        <w:spacing w:after="160"/>
      </w:pPr>
      <w:r>
        <w:rPr>
          <w:rFonts w:ascii="Open Sans" w:hAnsi="Open Sans"/>
          <w:b w:val="0"/>
          <w:i w:val="0"/>
          <w:color w:val="59595B"/>
          <w:sz w:val="22"/>
        </w:rPr>
        <w:t>During February 2026, Technijian deployed 117 patches across 24 ANI endpoints — 117 via the automated patch pipeline and 0 delivered hands-on by Technijian's tech team. 0 of those addressed Critical-severity vulnerabilities. The automated patch infrastructure ran on schedule, and any endpoints that needed extra attention were picked up by our techs and installed manually within the same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Patch Window</w:t>
            </w:r>
          </w:p>
        </w:tc>
      </w:tr>
    </w:tbl>
    <w:p>
      <w:pPr>
        <w:spacing w:after="160"/>
      </w:pPr>
      <w:r>
        <w:rPr>
          <w:rFonts w:ascii="Open Sans" w:hAnsi="Open Sans"/>
          <w:b w:val="0"/>
          <w:i w:val="0"/>
          <w:color w:val="59595B"/>
          <w:sz w:val="22"/>
        </w:rPr>
        <w:t>ANI's Automated Patch Deployment (APD) tasks in Endpoint Central are configured as follows. Times are in the deployment template's configured timezone.</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Task</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c>
          <w:tcPr>
            <w:tcW w:type="dxa" w:w="230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Template</w:t>
            </w:r>
          </w:p>
        </w:tc>
        <w:tc>
          <w:tcPr>
            <w:tcW w:type="dxa" w:w="158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Window</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Days</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Weeks</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ANI_Patches</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SUSPENDED</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r>
        <w:tc>
          <w:tcPr>
            <w:tcW w:type="dxa" w:w="187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Patch Management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RUNNING</w:t>
            </w:r>
          </w:p>
        </w:tc>
        <w:tc>
          <w:tcPr>
            <w:tcW w:type="dxa" w:w="230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 Deployment Policy</w:t>
            </w:r>
          </w:p>
        </w:tc>
        <w:tc>
          <w:tcPr>
            <w:tcW w:type="dxa" w:w="158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20:59 – 02:00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Fri, Sat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every week</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Per-Machine Summary</w:t>
            </w:r>
          </w:p>
        </w:tc>
      </w:tr>
    </w:tbl>
    <w:tbl>
      <w:tblPr>
        <w:tblW w:type="auto" w:w="0"/>
        <w:tblLayout w:type="fixed"/>
        <w:tblLook w:firstColumn="1" w:firstRow="1" w:lastColumn="0" w:lastRow="0" w:noHBand="0" w:noVBand="1" w:val="04A0"/>
      </w:tblPr>
      <w:tblGrid>
        <w:gridCol w:w="1872"/>
        <w:gridCol w:w="1872"/>
        <w:gridCol w:w="1872"/>
        <w:gridCol w:w="1872"/>
        <w:gridCol w:w="1872"/>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Machine</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Total Installed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Succeeded</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Errored</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(3)</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WS-AI-29</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ANI-HQ-VBR-02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(1)</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Errored (2)</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WS-AI-30</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VMANIWMS</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WS-AI-31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ANI-HQ-SQL-01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ANI-HQ-VONE</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ANI-HQ-WINEDGE</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VMANIPHOTO1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VMANIDC02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WS-AI-02</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VMANIENG1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VMANIOPT1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VMANIFS-02</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ANI-HQ-OPSPRB-01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Pass</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Severity Breakdown</w:t>
            </w:r>
          </w:p>
        </w:tc>
      </w:tr>
    </w:tbl>
    <w:tbl>
      <w:tblPr>
        <w:tblW w:type="auto" w:w="0"/>
        <w:tblLayout w:type="fixed"/>
        <w:tblLook w:firstColumn="1" w:firstRow="1" w:lastColumn="0" w:lastRow="0" w:noHBand="0" w:noVBand="1" w:val="04A0"/>
      </w:tblPr>
      <w:tblGrid>
        <w:gridCol w:w="3120"/>
        <w:gridCol w:w="3120"/>
        <w:gridCol w:w="312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Critical</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0.0%</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Important</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13.4%</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Moderate</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30</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23.6%</w:t>
            </w:r>
          </w:p>
        </w:tc>
      </w:tr>
      <w:tr>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Low</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26</w:t>
            </w:r>
          </w:p>
        </w:tc>
        <w:tc>
          <w:tcPr>
            <w:tcW w:type="dxa" w:w="288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20.5%</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Unspecified</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54</w:t>
            </w:r>
          </w:p>
        </w:tc>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42.5%</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Vendor Breakdown</w:t>
            </w:r>
          </w:p>
        </w:tc>
      </w:tr>
    </w:tbl>
    <w:tbl>
      <w:tblPr>
        <w:tblW w:type="auto" w:w="0"/>
        <w:tblLayout w:type="fixed"/>
        <w:tblLook w:firstColumn="1" w:firstRow="1" w:lastColumn="0" w:lastRow="0" w:noHBand="0" w:noVBand="1" w:val="04A0"/>
      </w:tblPr>
      <w:tblGrid>
        <w:gridCol w:w="3120"/>
        <w:gridCol w:w="3120"/>
        <w:gridCol w:w="3120"/>
      </w:tblGrid>
      <w:tr>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Vendor</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Installed</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 of total</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89</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70.1%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Intel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5.5%</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Mozilla</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Adobe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Doist</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Notepad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 Global Development Group</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Igor Pavlov</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1.6%</w:t>
            </w:r>
          </w:p>
        </w:tc>
      </w:tr>
      <w:tr>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r>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Dell Inc.</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0.8%</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Automated Patch Deployments</w:t>
            </w:r>
          </w:p>
        </w:tc>
      </w:tr>
    </w:tbl>
    <w:p>
      <w:pPr>
        <w:spacing w:after="160"/>
      </w:pPr>
      <w:r>
        <w:rPr>
          <w:rFonts w:ascii="Open Sans" w:hAnsi="Open Sans"/>
          <w:b w:val="0"/>
          <w:i w:val="0"/>
          <w:color w:val="59595B"/>
          <w:sz w:val="22"/>
        </w:rPr>
        <w:t>Showing the top 25 of 53 unique patches deployed this month by the automated patch pipeline, ranked by number of endpoints that received each patch.</w:t>
      </w:r>
    </w:p>
    <w:tbl>
      <w:tblPr>
        <w:tblW w:type="auto" w:w="0"/>
        <w:tblLayout w:type="fixed"/>
        <w:tblLook w:firstColumn="1" w:firstRow="1" w:lastColumn="0" w:lastRow="0" w:noHBand="0" w:noVBand="1" w:val="04A0"/>
      </w:tblPr>
      <w:tblGrid>
        <w:gridCol w:w="4680"/>
        <w:gridCol w:w="4680"/>
      </w:tblGrid>
      <w:tr>
        <w:tc>
          <w:tcPr>
            <w:tcW w:type="dxa" w:w="72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windows11.0-kb5074828-x64-ndp481-25H2_win11.msu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windows11.0-kb5077241-x64-25H2_win11.msu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windowsdesktop-runtime-8.0.24-win-x64.exe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8</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windows11.0-kb5077181-x64-25H2_win11.msu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windows11.0-kb5074105-x64-25H2_win11.msu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windows10.0-kb5075906-x64-2022.msu</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ZoomInstallerFull_6.7.2.26346_64.exe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MicrosoftEdgeWebView2RuntimeInstallerX64_145.0.3800.65.exe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windows10.0-kb5075902-x64-2016.msu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MicrosoftEdgeWebView2RuntimeInstallerX64_145.0.3800.82.exe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windows10.0-kb5075999-x64-2016.msu</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3de915d8-3c4d-4341-a002-840a5d8be101_97f01c46b968a3faa7e4a342a4b1dfb88ed86bbe_PCI__VEN_8086_DEV_15BC.cab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aspnetcore-runtime-8.0.24-win-x64.exe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TeamViewer_Setup_15.75.4.exe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googleearthprowin-7.3.7-x64.exe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Firefox Setup_148.0_x64.exe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npp.8.9.2.Installer.x64.exe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microsoftedgeenterprise_145.0.3800.82_x64.msi</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AcroRdrDCUpd2500121208.msp</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3de915d8-3c4d-4341-a002-840a5d8be101_97f01c46b968a3faa7e4a342a4b1dfb88ed86bbe_PCI__VEN_8086_DEV_15BB.cab</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TeamViewer_Setup_15.74.5.exe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Todoist-win32-9.26.2-latest.exe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postgresql-15.17-1-windows-x64.exe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Office365_installer_19725.20126_currentx64.exe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72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Office2021_installer_16.0.19725.20126_retail_x64.exe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Manual Installations by Technijian</w:t>
            </w:r>
          </w:p>
        </w:tc>
      </w:tr>
    </w:tbl>
    <w:tbl>
      <w:tblPr>
        <w:tblW w:type="auto" w:w="0"/>
        <w:tblLook w:firstColumn="1" w:firstRow="1" w:lastColumn="0" w:lastRow="0" w:noHBand="0" w:noVBand="1" w:val="04A0"/>
      </w:tblPr>
      <w:tblGrid>
        <w:gridCol w:w="9360"/>
      </w:tblGrid>
      <w:tr>
        <w:tc>
          <w:tcPr>
            <w:tcW w:type="dxa" w:w="9360"/>
            <w:shd w:val="clear" w:color="auto" w:fill="E9F7EE"/>
            <w:tcBorders>
              <w:top w:val="single" w:sz="12" w:color="28A745"/>
              <w:left w:val="single" w:sz="12" w:color="28A745"/>
              <w:bottom w:val="single" w:sz="12" w:color="28A745"/>
              <w:right w:val="single" w:sz="12" w:color="28A745"/>
            </w:tcBorders>
          </w:tcPr>
          <w:p>
            <w:pPr>
              <w:spacing w:before="120" w:after="120"/>
            </w:pPr>
            <w:r>
              <w:rPr>
                <w:rFonts w:ascii="Open Sans" w:hAnsi="Open Sans"/>
                <w:b w:val="0"/>
                <w:i w:val="0"/>
                <w:color w:val="1A1A2E"/>
                <w:sz w:val="22"/>
              </w:rPr>
              <w:t>All scheduled patches were deployed cleanly by the automated pipeline — no hands-on installation by Technijian's tech team was required this month.</w:t>
            </w:r>
          </w:p>
        </w:tc>
      </w:tr>
    </w:tbl>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Year-to-Date Patch Coverage</w:t>
            </w:r>
          </w:p>
        </w:tc>
      </w:tr>
    </w:tbl>
    <w:p>
      <w:pPr>
        <w:spacing w:after="160"/>
      </w:pPr>
      <w:r>
        <w:rPr>
          <w:rFonts w:ascii="Open Sans" w:hAnsi="Open Sans"/>
          <w:b w:val="0"/>
          <w:i w:val="0"/>
          <w:color w:val="59595B"/>
          <w:sz w:val="22"/>
        </w:rPr>
        <w:t>Cumulative 2026 patch deployment totals through February 2026, month by month. The running totals show Technijian's protection compounding across the calendar year.</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Month</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Patches Deployed</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Critical Patches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 Patched</w:t>
            </w:r>
          </w:p>
        </w:tc>
        <w:tc>
          <w:tcPr>
            <w:tcW w:type="dxa" w:w="14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YTD Total</w:t>
            </w:r>
          </w:p>
        </w:tc>
      </w:tr>
      <w:tr>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January</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w:t>
            </w:r>
          </w:p>
        </w:tc>
        <w:tc>
          <w:tcPr>
            <w:tcW w:type="dxa" w:w="14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151</w:t>
            </w:r>
          </w:p>
        </w:tc>
      </w:tr>
      <w:tr>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February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131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24</w:t>
            </w:r>
          </w:p>
        </w:tc>
        <w:tc>
          <w:tcPr>
            <w:tcW w:type="dxa" w:w="14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282</w:t>
            </w:r>
          </w:p>
        </w:tc>
      </w:tr>
    </w:tbl>
    <w:p>
      <w:pPr>
        <w:spacing w:after="160"/>
      </w:pPr>
      <w:r>
        <w:rPr>
          <w:rFonts w:ascii="Open Sans" w:hAnsi="Open Sans"/>
          <w:b/>
          <w:i w:val="0"/>
          <w:color w:val="1A1A2E"/>
          <w:sz w:val="22"/>
        </w:rPr>
        <w:t>Through February 2026, Technijian has deployed 282 patches year-to-date — including 2 Critical-severity vulnerabilities closed.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Deployed 117 security and feature patches </w:t>
      </w:r>
      <w:r>
        <w:rPr>
          <w:rFonts w:ascii="Open Sans" w:hAnsi="Open Sans"/>
          <w:b w:val="0"/>
          <w:i w:val="0"/>
          <w:color w:val="59595B"/>
          <w:sz w:val="22"/>
        </w:rPr>
        <w:t>across 24 of your endpoints during February 2026, keeping your fleet aligned with vendor security baselines.</w:t>
      </w:r>
    </w:p>
    <w:p>
      <w:pPr>
        <w:pStyle w:val="ListBullet"/>
        <w:spacing w:after="80"/>
      </w:pPr>
      <w:r>
        <w:rPr>
          <w:rFonts w:ascii="Open Sans" w:hAnsi="Open Sans"/>
          <w:b/>
          <w:i w:val="0"/>
          <w:color w:val="1A1A2E"/>
          <w:sz w:val="22"/>
        </w:rPr>
        <w:t xml:space="preserve">Closed 17 Important-severity vulnerabilities </w:t>
      </w:r>
      <w:r>
        <w:rPr>
          <w:rFonts w:ascii="Open Sans" w:hAnsi="Open Sans"/>
          <w:b w:val="0"/>
          <w:i w:val="0"/>
          <w:color w:val="59595B"/>
          <w:sz w:val="22"/>
        </w:rPr>
        <w:t>as part of the same deployment cycle.</w:t>
      </w:r>
    </w:p>
    <w:p>
      <w:pPr>
        <w:pStyle w:val="ListBullet"/>
        <w:spacing w:after="80"/>
      </w:pPr>
      <w:r>
        <w:rPr>
          <w:rFonts w:ascii="Open Sans" w:hAnsi="Open Sans"/>
          <w:b/>
          <w:i w:val="0"/>
          <w:color w:val="1A1A2E"/>
          <w:sz w:val="22"/>
        </w:rPr>
        <w:t xml:space="preserve">Coordinated patches across 13 different software vendors </w:t>
      </w:r>
      <w:r>
        <w:rPr>
          <w:rFonts w:ascii="Open Sans" w:hAnsi="Open Sans"/>
          <w:b w:val="0"/>
          <w:i w:val="0"/>
          <w:color w:val="59595B"/>
          <w:sz w:val="22"/>
        </w:rPr>
        <w:t>(Microsoft, Adobe, browser makers, and others) so your team doesn't have to track each vendor's release calendar.</w:t>
      </w:r>
    </w:p>
    <w:p>
      <w:pPr>
        <w:pStyle w:val="ListBullet"/>
        <w:spacing w:after="80"/>
      </w:pPr>
      <w:r>
        <w:rPr>
          <w:rFonts w:ascii="Open Sans" w:hAnsi="Open Sans"/>
          <w:b/>
          <w:i w:val="0"/>
          <w:color w:val="1A1A2E"/>
          <w:sz w:val="22"/>
        </w:rPr>
        <w:t xml:space="preserve">Maintained the scheduled patch window: </w:t>
      </w:r>
      <w:r>
        <w:rPr>
          <w:rFonts w:ascii="Open Sans" w:hAnsi="Open Sans"/>
          <w:b w:val="0"/>
          <w:i w:val="0"/>
          <w:color w:val="59595B"/>
          <w:sz w:val="22"/>
        </w:rPr>
        <w:t>20:59-02:00 on Fri,Sat (every week), 20:59-02:00 on Sat (every week). Endpoints powered on during the window received their patches with no user interaction required.</w:t>
      </w:r>
    </w:p>
    <w:p>
      <w:pPr>
        <w:pStyle w:val="ListBullet"/>
        <w:spacing w:after="80"/>
      </w:pPr>
      <w:r>
        <w:rPr>
          <w:rFonts w:ascii="Open Sans" w:hAnsi="Open Sans"/>
          <w:b/>
          <w:i w:val="0"/>
          <w:color w:val="1A1A2E"/>
          <w:sz w:val="22"/>
        </w:rPr>
        <w:t xml:space="preserve">Monitored the patch infrastructure 24×7: </w:t>
      </w:r>
      <w:r>
        <w:rPr>
          <w:rFonts w:ascii="Open Sans" w:hAnsi="Open Sans"/>
          <w:b w:val="0"/>
          <w:i w:val="0"/>
          <w:color w:val="59595B"/>
          <w:sz w:val="22"/>
        </w:rPr>
        <w:t>patch scan health, deployment status, distribution server connectivity, and endpoint check-in were all under continuous monitoring throughout the month.</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ManageEngine announced no major platform changes this month. Routine detection-content updates and sensor improvements continued to roll out automatically. Technijian tracks ManageEngine's release notes monthly so future updates land in this section as they're published.</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Compliance Alignment</w:t>
            </w:r>
          </w:p>
        </w:tc>
      </w:tr>
    </w:tbl>
    <w:p>
      <w:pPr>
        <w:spacing w:after="160"/>
      </w:pPr>
      <w:r>
        <w:rPr>
          <w:rFonts w:ascii="Open Sans" w:hAnsi="Open Sans"/>
          <w:b w:val="0"/>
          <w:i w:val="0"/>
          <w:color w:val="59595B"/>
          <w:sz w:val="22"/>
        </w:rPr>
        <w:t>This client's industry classification is Engineering / Manufacturing. Based on that classification, the data Technijian's stack is helping protect is most likely characterized as: Trade secrets / Customer PII.</w:t>
      </w:r>
    </w:p>
    <w:p>
      <w:pPr>
        <w:spacing w:after="160"/>
      </w:pPr>
      <w:r>
        <w:rPr>
          <w:rFonts w:ascii="Open Sans" w:hAnsi="Open Sans"/>
          <w:b w:val="0"/>
          <w:i w:val="0"/>
          <w:color w:val="59595B"/>
          <w:sz w:val="21"/>
        </w:rPr>
        <w:t>Engineering and manufacturing firms vary widely in compliance scope. Defense/aerospace work brings ITAR (export-controlled technical data) and CMMC (DoD contractor cybersecurity). Civilian manufacturing is typically governed by general privacy law and customer-imposed SOC 2 / NIST 800-171 requirements.</w:t>
      </w:r>
    </w:p>
    <w:p>
      <w:pPr>
        <w:spacing w:after="160"/>
      </w:pPr>
      <w:r>
        <w:rPr>
          <w:rFonts w:ascii="Open Sans" w:hAnsi="Open Sans"/>
          <w:b/>
          <w:i w:val="0"/>
          <w:color w:val="1A1A2E"/>
          <w:sz w:val="22"/>
        </w:rPr>
        <w:t>How Technijian's monitoring stack supports each framework:</w:t>
      </w:r>
    </w:p>
    <w:p>
      <w:pPr>
        <w:pStyle w:val="ListBullet"/>
        <w:spacing w:after="80"/>
      </w:pPr>
      <w:r>
        <w:rPr>
          <w:rFonts w:ascii="Open Sans" w:hAnsi="Open Sans"/>
          <w:b/>
          <w:i w:val="0"/>
          <w:color w:val="1A1A2E"/>
          <w:sz w:val="22"/>
        </w:rPr>
        <w:t xml:space="preserve">California CCPA: </w:t>
      </w:r>
      <w:r>
        <w:rPr>
          <w:rFonts w:ascii="Open Sans" w:hAnsi="Open Sans"/>
          <w:b w:val="0"/>
          <w:i w:val="0"/>
          <w:color w:val="59595B"/>
          <w:sz w:val="22"/>
        </w:rPr>
        <w:t>breach-detection and incident-response capabilities support CCPA §1798.150 reasonable-security obligations and the 72-hour notification window for incidents involving California-resident PII.</w:t>
      </w:r>
    </w:p>
    <w:p>
      <w:pPr>
        <w:pStyle w:val="ListBullet"/>
        <w:spacing w:after="80"/>
      </w:pPr>
      <w:r>
        <w:rPr>
          <w:rFonts w:ascii="Open Sans" w:hAnsi="Open Sans"/>
          <w:b/>
          <w:i w:val="0"/>
          <w:color w:val="1A1A2E"/>
          <w:sz w:val="22"/>
        </w:rPr>
        <w:t xml:space="preserve">ITAR (if defense): </w:t>
      </w:r>
      <w:r>
        <w:rPr>
          <w:rFonts w:ascii="Open Sans" w:hAnsi="Open Sans"/>
          <w:b w:val="0"/>
          <w:i w:val="0"/>
          <w:color w:val="59595B"/>
          <w:sz w:val="22"/>
        </w:rPr>
        <w:t>endpoint controls and access logging help support ITAR §126 technical-data export controls when applicable to the customer's contract scope.</w:t>
      </w:r>
    </w:p>
    <w:p>
      <w:pPr>
        <w:pStyle w:val="ListBullet"/>
        <w:spacing w:after="80"/>
      </w:pPr>
      <w:r>
        <w:rPr>
          <w:rFonts w:ascii="Open Sans" w:hAnsi="Open Sans"/>
          <w:b/>
          <w:i w:val="0"/>
          <w:color w:val="1A1A2E"/>
          <w:sz w:val="22"/>
        </w:rPr>
        <w:t xml:space="preserve">CMMC (if DoD): </w:t>
      </w:r>
      <w:r>
        <w:rPr>
          <w:rFonts w:ascii="Open Sans" w:hAnsi="Open Sans"/>
          <w:b w:val="0"/>
          <w:i w:val="0"/>
          <w:color w:val="59595B"/>
          <w:sz w:val="22"/>
        </w:rPr>
        <w:t>Endpoint Central inventory, patch evidence, and EDR detection logs map to multiple CMMC Level 1 and Level 2 practices (AC, AU, CM, IR, SI domains).</w:t>
      </w:r>
    </w:p>
    <w:p>
      <w:pPr>
        <w:spacing w:after="160"/>
      </w:pPr>
      <w:r>
        <w:rPr>
          <w:rFonts w:ascii="Open Sans" w:hAnsi="Open Sans"/>
          <w:b w:val="0"/>
          <w:i w:val="0"/>
          <w:color w:val="59595B"/>
          <w:sz w:val="19"/>
        </w:rPr>
        <w:t>This classification was generated automatically from the client's name and contact-domain signals. If the industry or compliance scope shown here doesn't match your operations, please reply to this report and we'll update the classification — Technijian's team can also produce a deeper compliance-posture report on request.</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pStyle w:val="ListBullet"/>
        <w:spacing w:after="80"/>
      </w:pPr>
      <w:r>
        <w:rPr>
          <w:rFonts w:ascii="Open Sans" w:hAnsi="Open Sans"/>
          <w:b/>
          <w:i w:val="0"/>
          <w:color w:val="1A1A2E"/>
          <w:sz w:val="22"/>
        </w:rPr>
        <w:t xml:space="preserve">Verify Wake-on-LAN is enabled fleet-wide: </w:t>
      </w:r>
      <w:r>
        <w:rPr>
          <w:rFonts w:ascii="Open Sans" w:hAnsi="Open Sans"/>
          <w:b w:val="0"/>
          <w:i w:val="0"/>
          <w:color w:val="59595B"/>
          <w:sz w:val="22"/>
        </w:rPr>
        <w:t>7 endpoint(s) received fewer patches than the fleet average this month, which often means the device was powered off during the patch window. Enabling WoL on these machines lets the pipeline reach them automatically during the next scheduled window.</w:t>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About This Report</w:t>
            </w:r>
          </w:p>
        </w:tc>
      </w:tr>
    </w:tbl>
    <w:p>
      <w:pPr>
        <w:spacing w:after="160"/>
      </w:pPr>
      <w:r>
        <w:rPr>
          <w:rFonts w:ascii="Open Sans" w:hAnsi="Open Sans"/>
          <w:b w:val="0"/>
          <w:i w:val="0"/>
          <w:color w:val="59595B"/>
          <w:sz w:val="22"/>
        </w:rPr>
        <w:t>This report is generated automatically from Technijian's ManageEngine Endpoint Central MSP server (myrmm.technijian.com) by the annual-client-review pipeline. Every figure is sourced live from the EC SQL backend at report-generation time; no manual data entry is involved.</w:t>
      </w:r>
    </w:p>
    <w:p>
      <w:pPr>
        <w:spacing w:after="160"/>
      </w:pPr>
      <w:r>
        <w:rPr>
          <w:rFonts w:ascii="Open Sans" w:hAnsi="Open Sans"/>
          <w:b w:val="0"/>
          <w:i w:val="0"/>
          <w:color w:val="59595B"/>
          <w:sz w:val="22"/>
        </w:rPr>
        <w:t>Report generated 2026-05-02 19:02 for client 'ANI' covering February 2026 (installations between the 1st and last day of the month, UTC).</w:t>
      </w:r>
    </w:p>
    <w:p>
      <w:pPr>
        <w:spacing w:after="160"/>
      </w:pPr>
      <w:r>
        <w:rPr>
          <w:rFonts w:ascii="Open Sans" w:hAnsi="Open Sans"/>
          <w:b w:val="0"/>
          <w:i w:val="0"/>
          <w:color w:val="59595B"/>
          <w:sz w:val="22"/>
        </w:rPr>
        <w:t>For questions about any item in this report, or to request a different reporting cadence, email support@technijian.com.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