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B2I — March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96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13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March 2026, Technijian deployed 96 patches across 13 B2I endpoints — 96 via the automated patch pipeline and 0 delivered hands-on by Technijian's tech team. 1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B2I's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B2I_Patches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SUSPENDED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Laptop-JonM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victoria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PONO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LAPTOP-CO9S1K5I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Jared-Friedman-PC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LPT-EREAD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kIKI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Icaza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B2I-3CX-LOANER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KeithBrewer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MIKE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idea-PC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B2I-HQ-WINEDGE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24.0%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31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29.8%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8.7%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43.3%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Parallels International GmbH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Lenovo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1.9%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JAM Software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Brother Industries, Ltd.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1.0%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49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ZoomInstallerFull_6.7.8.32670_64.exe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ZoomInstallerFull_7.0.0.33767_64.exe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cisco-secure-client-win-5.1.16.194-core-vpn-predeploy-k9.msi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windows11.0-kb5079391-x64-25H2_win11.msu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googlechromestandaloneenterprise64_146.0.7680.154.msi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MicrosoftEdgeWebView2RuntimeInstallerX64_146.0.3856.59.exe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Office365_installer_19725.20152B_currentx64.exe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windowsdesktop-runtime-8.0.25-win-x64.exe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googlechromestandaloneenterprise64_146.0.7680.80.msi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googlechromestandaloneenterprise64_146.0.7680.76.msi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ZoomInstallerFull_6.7.5.30439_64.exe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AcrobatDCx64Upd2500121265.msp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RASClient-x64-21.1.26542.msi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cisco-secure-client-win-5.1.16.194-dart-predeploy-k9.msi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RASClient-x64-21.1.26548.msi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Office365_installer_19822.20114_currentx64.exe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windows11.0-kb5074828-x64-ndp481-25H2_win11.msu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windows11.0-kb5079473-x64-25H2_win11.msu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5760e587-fbe9-44df-848d-66396345a29d_59301de6900bf78bf50d55983f6001d9f8d7e30f_PCI__VEN_8086_DEV_9BC4.cab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AcroRdrDCUpd2500121288.msp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Office365_installer_19725.20172_currentx64.exe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Year-to-Date Patch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Cumulative 2026 patch deployment totals through March 2026, month by month. The running totals show Technijian's protection compounding across the calendar year.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Month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Deployed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Critical Patches</w:t>
            </w:r>
          </w:p>
        </w:tc>
        <w:tc>
          <w:tcPr>
            <w:tcW w:type="dxa" w:w="201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 Patched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YTD Total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January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73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February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102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01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175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March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112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01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287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Through March 2026, Technijian has deployed 287 patches year-to-date — including 1 Critical-severity vulnerabilities closed.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96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13 of your endpoints during March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25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13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ManageEngine announced no major platform changes this month. Routine detection-content updates and sensor improvements continued to roll out automatically. Technijian tracks ManageEngine's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Compliance Alignment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client's industry classification is Financial Services. Based on that classification, the data Technijian's stack is helping protect is most likely characterized as: NPI / PCI.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1"/>
        </w:rPr>
        <w:t>Financial-services clients handle non-public personal information (NPI) and payment data. GLBA Safeguards Rule requires a written information-security program. SOC 2 Type II is increasingly the de-facto standard for vendor diligence. PCI DSS applies wherever cards are accepted (including custodial fee processing).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2"/>
        </w:rPr>
        <w:t>How Technijian's monitoring stack supports each framework: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SOC 2: </w:t>
      </w:r>
      <w:r>
        <w:rPr>
          <w:rFonts w:ascii="Open Sans" w:hAnsi="Open Sans"/>
          <w:b w:val="0"/>
          <w:i w:val="0"/>
          <w:color w:val="59595B"/>
          <w:sz w:val="22"/>
        </w:rPr>
        <w:t>continuous monitoring, change tracking, patch evidence, and incident logs are produced monthly so SOC 2 Type II auditors can sample directly from the artifacts Technijian already generates.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GLBA: </w:t>
      </w:r>
      <w:r>
        <w:rPr>
          <w:rFonts w:ascii="Open Sans" w:hAnsi="Open Sans"/>
          <w:b w:val="0"/>
          <w:i w:val="0"/>
          <w:color w:val="59595B"/>
          <w:sz w:val="22"/>
        </w:rPr>
        <w:t>endpoint protection plus role-based access enforcement help satisfy the GLBA Safeguards Rule's information-security program requirements (16 CFR §314).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PCI DSS: </w:t>
      </w:r>
      <w:r>
        <w:rPr>
          <w:rFonts w:ascii="Open Sans" w:hAnsi="Open Sans"/>
          <w:b w:val="0"/>
          <w:i w:val="0"/>
          <w:color w:val="59595B"/>
          <w:sz w:val="22"/>
        </w:rPr>
        <w:t>system patching, anti-malware, and continuous vulnerability monitoring satisfy PCI DSS 4.0 Requirements 5, 6, 11, and 12. Technijian's monthly reports are the audit evidence.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19"/>
        </w:rPr>
        <w:t>This classification was generated automatically from the client's name and contact-domain signals. If the industry or compliance scope shown here doesn't match your operations, please reply to this report and we'll update the classification — Technijian's team can also produce a deeper compliance-posture report on request.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1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19:02 for client 'B2I' covering March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