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Boston Group</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Boston Group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98</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55</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55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98 alert(s) across 12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BST-HQ-VONE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BST-HQ-OPSPRB-0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DESKTOP-F42DDF1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BG77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BG72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BST-HQ-RA-01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BST-HQ-VONE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 at 2026-03-31T08:37:56Z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BST-HQ-OPSPRB-0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DESKTOP-F42DDF1 at 2026-03-17T20:06:05Z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DESKTOP-F42DDF1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BST-HQ-OPSPRB-0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BST-HQ-VONE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BST-HQ-VONE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GenericSystemOwnerUserDiscovery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BST-HQ-VONE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BST-HQ-OPSPRB-0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KEVIN2 at 2026-03-24T16:38:26Z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BST-HQ-OPSPRB-0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BST-HQ-OPSPRB-0 at 2026-03-31T08:22:50Z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BST-HQ-OPSPRB-0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BST-HQ-OPSPRB-0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BST-HQ-OPSPRB-0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98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98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Environmental Services. Based on that classification, the data Technijian's stack is helping protect is most likely characterized as: Customer PII.</w:t>
      </w:r>
    </w:p>
    <w:p>
      <w:pPr>
        <w:spacing w:after="160"/>
      </w:pPr>
      <w:r>
        <w:rPr>
          <w:rFonts w:ascii="Open Sans" w:hAnsi="Open Sans"/>
          <w:b w:val="0"/>
          <w:i w:val="0"/>
          <w:color w:val="59595B"/>
          <w:sz w:val="21"/>
        </w:rPr>
        <w:t>Environmental services firms keep regulatory records (waste manifests, disposal logs) under EPA rules. General CCPA applies to customer/employee PII.</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EPA records: </w:t>
      </w:r>
      <w:r>
        <w:rPr>
          <w:rFonts w:ascii="Open Sans" w:hAnsi="Open Sans"/>
          <w:b w:val="0"/>
          <w:i w:val="0"/>
          <w:color w:val="59595B"/>
          <w:sz w:val="22"/>
        </w:rPr>
        <w:t>tamper-evident audit logs around recordkeeping systems support EPA regulatory document-retention requirements.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