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BST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65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January 2026, Technijian deployed 65 patches across 11 BST endpoints — 65 via the automated patch pipeline and 0 delivered hands-on by Technijian's tech team. 1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BST's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 Task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SUSPENDED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 Patch Managment Task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 Deployment Policy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BG77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BG72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Kevin2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BST-HQ-LPT-02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BST-HQ-VONE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BST-Jeff-Home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DESKTOP-QPBGLP8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BST-HQ-AD-01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BST-HQ-AD-02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BST-HQ-OPSPRB-01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BST-HQ-VBR-01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6.2%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29.2%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13.8%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49.2%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64.6%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15.4%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VMware,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6.2%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4.6%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WiseCleaner.com,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Advanced Micro Devices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Realtek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Zebra Technologies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36 unique patches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windows10.0-kb5077800-x64-2022.msu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windows10.0-kb5078136-x64-2022.msu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VMware-tools-13.0.10-25056151-x64.exe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Setup_147.0_x64.exe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windows10.0-kb5073457-x64-2022.msu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Setup_147.0.2_x64.exe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Setup_147.0.1_x64.exe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Office365_installer_19530.20144_currentx64.exe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Office365_installer_19530.20138_currentx64.exe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windows11.0-kb5078127-x64-25H2_win11.msu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Office365_installer_19628.20150_currentx64.exe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windows11.0-kb5077744-x64-25H2_win11.msu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Office365_installer_19530.20184_currentx64.exe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windowsdesktop-runtime-8.0.23-win-x64.exe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WPUSetup_3.2.8.272.exe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windows11.0-kb5078127-x64-24H2_win11.msu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Office365_installer_19628.20150_currentx86.exe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228b3e8a-0c81-49ef-a079-7d4627944b0e_59a950f8b5a12ebe92767065bc0a7b6ddd843bd7_PCI_VEN_8086_DEV_A780.cab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408c162b-fd3d-42e0-b89d-64357487a90c_0110812791a66ac77ad2fb8adc336c7cb6885300.cab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windows11.0-kb5077744-x64-24H2_win11.msu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Office365_installer_19530.20184_currentx86.exe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aspnetcore-runtime-8.0.23-win-x64.exe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Office365_installer_19530.20144_currentx86.exe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windows11.0-kb5074109-x64-25H2_win11.msu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MicrosoftEdgeWebView2RuntimeInstallerX64_143.0.3650.139.exe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January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65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65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January 2026, Technijian has deployed 65 patches year-to-date — including 1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65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11 of your endpoints during January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1 Critical-severity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by deploying the corresponding vendor patches before they could be exploited in the wild.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4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9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Environmental Services. Based on that classification, the data Technijian's stack is helping protect is most likely characterized as: Customer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Environmental services firms keep regulatory records (waste manifests, disposal logs) under EPA rules. General CCPA applies to customer/employee PII.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CCPA: </w:t>
      </w:r>
      <w:r>
        <w:rPr>
          <w:rFonts w:ascii="Open Sans" w:hAnsi="Open Sans"/>
          <w:b w:val="0"/>
          <w:i w:val="0"/>
          <w:color w:val="59595B"/>
          <w:sz w:val="22"/>
        </w:rPr>
        <w:t>breach-detection and incident-response capabilities support CCPA §1798.150 reasonable-security obligations and the 72-hour notification window for incidents involving California-resident PII.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EPA records: </w:t>
      </w:r>
      <w:r>
        <w:rPr>
          <w:rFonts w:ascii="Open Sans" w:hAnsi="Open Sans"/>
          <w:b w:val="0"/>
          <w:i w:val="0"/>
          <w:color w:val="59595B"/>
          <w:sz w:val="22"/>
        </w:rPr>
        <w:t>tamper-evident audit logs around recordkeeping systems support EPA regulatory document-retention requirements.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Reboot at next convenience if prompted: </w:t>
      </w:r>
      <w:r>
        <w:rPr>
          <w:rFonts w:ascii="Open Sans" w:hAnsi="Open Sans"/>
          <w:b w:val="0"/>
          <w:i w:val="0"/>
          <w:color w:val="59595B"/>
          <w:sz w:val="22"/>
        </w:rPr>
        <w:t>1 Critical-severity patches were deployed this month. Some Microsoft and driver patches only finalize on the next reboot — letting users reboot at their convenience within 5 business days completes the security closure.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19:02 for client 'BST' covering January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