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BST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 deployed 38 patches across 8 BST endpoints — 38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BST's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 Task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SUSPENDED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 Patch Managment Task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 Deployment Policy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BG77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BST-Jeff-Home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DESKTOP-QPBGLP8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Boston-KevinJR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BST-HQ-LPT-01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BST-HQ-VBR-01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BST-HQ-VONE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11.9%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16.7%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38.1%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33.3%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Splashtop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Node.js Foundation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32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googlechromestandaloneenterprise64_147.0.7727.56.msi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microsoftedgeenterprise_147.0.3912.86_x64.msi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googlechromestandaloneenterprise64_147.0.7727.117.msi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windows-kb890830-x64-v5.140.exe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windows11.0-kb5086672-x64-25H2_win11.msu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Office365_installer_19822.20168_currentx64.exe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Setup_149.0.2_x64.exe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AcrobatDCx64Upd2600121483.msp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Splashtop_Streamer_Win_INSTALLER_v3.8.2.0.exe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windows10.0-kb5082200-x64-22H2.msu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googlechromestandaloneenterprise64_147.0.7727.102.msi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AcrobatDCx64Upd2600121431.msp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MicrosoftEdgeWebView2RuntimeInstallerX64_147.0.3912.72.exe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microsoftedgeenterprise_147.0.3912.72_x64.msi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windows11.0-kb5083769-x64-24H2_win11.msu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windows10.0-kb5082419-x64-ndp481-22H2.msu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windows11.0-kb5082420-x64-ndp481-24H2_win11.msu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cisco-secure-client-win-5.1.16.194-core-vpn-predeploy-k9.msi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52e54d9e-d959-439e-b056-96200d85163a_9430477addbfc0dd49c054dd13655b8274c11abd_PCI_VEN_8086_DEV_9A49.cab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node-v24.14.1-x64.msi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googlechromestandaloneenterprise_147.0.7727.56.msi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AcroRdrDCUpd2600121367.msp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Office365_installer_19822.20168_currentx86.exe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April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65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65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142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March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113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255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April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298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April 2026, Technijian has deployed 298 patches year-to-date — including 2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38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8 of your endpoints during April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5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9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Environmental Services. Based on that classification, the data Technijian's stack is helping protect is most likely characterized as: Customer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Environmental services firms keep regulatory records (waste manifests, disposal logs) under EPA rules. General CCPA applies to customer/employee PII.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EPA records: </w:t>
      </w:r>
      <w:r>
        <w:rPr>
          <w:rFonts w:ascii="Open Sans" w:hAnsi="Open Sans"/>
          <w:b w:val="0"/>
          <w:i w:val="0"/>
          <w:color w:val="59595B"/>
          <w:sz w:val="22"/>
        </w:rPr>
        <w:t>tamper-evident audit logs around recordkeeping systems support EPA regulatory document-retention requirements.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19:02 for client 'BST' covering April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