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Brandywine Homes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Brandywine Homes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110</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50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50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110 alert(s) across 19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BWH-HQ-LT-19</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BWH-HQ-APP-01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ANGELA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BWWS021-PC</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 at 2026-02-12T22:54:55Z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 at 2026-02-23T15:17:01Z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BWLAP-10 at 2026-02-15T17:55:07Z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 at 2026-02-18T19:23:04Z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RemotePivotHollowing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 at 2026-02-24T02:32:43Z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 at 2026-02-25T19:56:50Z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 at 2026-02-16T15:00:48Z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OnWrite-HashPupAdwareCrowdStrikeSha256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GenericParentCompositeDetection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 at 2026-02-24T02:32:43Z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BundledMalware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BWH-HQ-LT-19 at 2026-02-18T23:38:20Z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BWWS021-PC at 2026-02-11T22:17:48Z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BWWS021-PC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RansomwareFilesRenamedIndicator2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BWWS017-PC at 2026-02-10T09:02:26Z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BWWS017-PC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BWWS017-PC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GenericParentCompositeDetection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110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110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GenericParentCompositeDetection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RansomwareFilesRenamedIndicator2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BWWS017-PC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GenericParentCompositeDetection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RansomwareFilesRenamedIndicator2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BWWS021-PC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Construction / Homebuilding. Based on that classification, the data Technijian's stack is helping protect is most likely characterized as: PII (employees, customers).</w:t>
      </w:r>
    </w:p>
    <w:p>
      <w:pPr>
        <w:spacing w:after="160"/>
      </w:pPr>
      <w:r>
        <w:rPr>
          <w:rFonts w:ascii="Open Sans" w:hAnsi="Open Sans"/>
          <w:b w:val="0"/>
          <w:i w:val="0"/>
          <w:color w:val="59595B"/>
          <w:sz w:val="21"/>
        </w:rPr>
        <w:t>Construction firms typically have minimal regulatory compliance obligations beyond general business privacy law (CCPA for California-resident data, OSHA for safety records). Government contracts (DoD, DOE) bring CMMC or NIST 800-171 into scope when applicable.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