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Brandywine Homes</w:t>
      </w:r>
    </w:p>
    <w:p>
      <w:pPr>
        <w:jc w:val="center"/>
      </w:pPr>
      <w:r>
        <w:rPr>
          <w:rFonts w:ascii="Open Sans" w:hAnsi="Open Sans"/>
          <w:b w:val="0"/>
          <w:i w:val="0"/>
          <w:color w:val="59595B"/>
          <w:sz w:val="24"/>
        </w:rPr>
        <w:t>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Brandywine Homes during January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54</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48</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1</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29 endpoint(s) with Microsoft Defender or firewall in a non-protected state; 4 endpoint(s) that have not phoned home in 30+ days.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 for Workstations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2022 Standard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2019 Standard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2012 R2 Standard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Protected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January 2026, Huntress raised 1 incident report(s) and surfaced 1 signal(s) on your environment. Each one was reviewed by Technijian's security operations team and routed to the appropriate response track. The breakdown is below.</w:t>
      </w:r>
    </w:p>
    <w:p/>
    <w:p>
      <w:pPr>
        <w:spacing w:after="160"/>
      </w:pPr>
      <w:r>
        <w:rPr>
          <w:rFonts w:ascii="Open Sans" w:hAnsi="Open Sans"/>
          <w:b/>
          <w:i w:val="0"/>
          <w:color w:val="1A1A2E"/>
          <w:sz w:val="24"/>
        </w:rPr>
        <w:t>Incidents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Incident detail</w:t>
      </w:r>
    </w:p>
    <w:tbl>
      <w:tblPr>
        <w:tblW w:type="auto" w:w="0"/>
        <w:tblLayout w:type="fixed"/>
        <w:tblLook w:firstColumn="1" w:firstRow="1" w:lastColumn="0" w:lastRow="0" w:noHBand="0" w:noVBand="1" w:val="04A0"/>
      </w:tblPr>
      <w:tblGrid>
        <w:gridCol w:w="2340"/>
        <w:gridCol w:w="2340"/>
        <w:gridCol w:w="2340"/>
        <w:gridCol w:w="2340"/>
      </w:tblGrid>
      <w:tr>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48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Summary</w:t>
            </w:r>
          </w:p>
        </w:tc>
      </w:tr>
      <w:tr>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Sent</w:t>
            </w:r>
          </w:p>
        </w:tc>
        <w:tc>
          <w:tcPr>
            <w:tcW w:type="dxa" w:w="48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BWH-HQ-DT-01 (BWH - Brandywine Homes)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48 of 54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1 signal(s) and actioned 1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Endpoints not phoning home (30+ days)</w:t>
      </w:r>
    </w:p>
    <w:tbl>
      <w:tblPr>
        <w:tblW w:type="auto" w:w="0"/>
        <w:tblLayout w:type="fixed"/>
        <w:tblLook w:firstColumn="1" w:firstRow="1" w:lastColumn="0" w:lastRow="0" w:noHBand="0" w:noVBand="1" w:val="04A0"/>
      </w:tblPr>
      <w:tblGrid>
        <w:gridCol w:w="2340"/>
        <w:gridCol w:w="2340"/>
        <w:gridCol w:w="2340"/>
        <w:gridCol w:w="2340"/>
      </w:tblGrid>
      <w:tr>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Seen</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BWWS-Conf2</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2026-03-12</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r>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BWH-HQ-LT-25</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2026-03-04</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r>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BrandywineMyle</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2026-03-26</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r>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img-re1</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2025-12-15</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bl>
    <w:p>
      <w:pPr>
        <w:spacing w:after="160"/>
      </w:pPr>
      <w:r>
        <w:rPr>
          <w:rFonts w:ascii="Open Sans" w:hAnsi="Open Sans"/>
          <w:b w:val="0"/>
          <w:i w:val="0"/>
          <w:color w:val="59595B"/>
          <w:sz w:val="22"/>
        </w:rPr>
        <w:t>Recommended action: confirm whether each computer is still in service. If retired or reimaged, please notify Technijian to decommission the agent. If still in service, the agent likely needs to be reinstalled or the device powered on.</w:t>
      </w:r>
    </w:p>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TABLET-AB7MOH3D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BWWS-Conf2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BWWS017-PC</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BWWS030-PC</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BWH-HQ-LT-20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Protected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BWH-HQ-LT-18</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BWH-HQ-LT-13</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BrandywineMyle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TABLET-KLFSQ9HN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BWH-HQ-DT-01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DC04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BWH-HQ-VBR-01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BWH-HQ-IIS-01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BWH-HQ-LT-22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BWH-HQ-VONE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DC03</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BWH-HQ-APP-01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RG01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BWH-HQ-SQL-01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BWH-HQ-OPSPRB-01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BWH-HQ-RDP-01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BWH-HQ-DT-02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BWH-HQ-LT-26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BWLAP-18</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BWWS029-PC</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BWLAP-15</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Construction / Homebuilding. Based on that classification, the data Technijian's stack is helping protect is most likely characterized as: PII (employees, customers).</w:t>
      </w:r>
    </w:p>
    <w:p>
      <w:pPr>
        <w:spacing w:after="160"/>
      </w:pPr>
      <w:r>
        <w:rPr>
          <w:rFonts w:ascii="Open Sans" w:hAnsi="Open Sans"/>
          <w:b w:val="0"/>
          <w:i w:val="0"/>
          <w:color w:val="59595B"/>
          <w:sz w:val="21"/>
        </w:rPr>
        <w:t>Construction firms typically have minimal regulatory compliance obligations beyond general business privacy law (CCPA for California-resident data, OSHA for safety records). Government contracts (DoD, DOE) bring CMMC or NIST 800-171 into scope when applicable.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