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415 patches across 47 BWH endpoints — 415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BWH's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BWWS030-PC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BWH-HQ-CONF-01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BWWS029-PC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BWWS-Conf2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BWWS017-PC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BW-ACCT02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BWWS016-PC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BWH-HQ-RDP-01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TABLET-KLFSQ9HN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Persimmon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BWH-HQ-OPSPRB-01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TABLET-AB7MOH3D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Loaner-03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RG01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95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1,162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1,604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1,604 patches year-to-date — including 12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26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Construction / Homebuilding. Based on that classification, the data Technijian's stack is helping protect is most likely characterized as: PII (employees, customers).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Construction firms typically have minimal regulatory compliance obligations beyond general business privacy law (CCPA for California-resident data, OSHA for safety records). Government contracts (DoD, DOE) bring CMMC or NIST 800-171 into scope when applicable.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'BWH'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