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14 patches across 4 CCC endpoints — 14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CCC's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CCC-DC-SQL-02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CCC-DC-TSVDI-01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CCC-SUR-CHUCK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6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windows10.0-kb5073457-x64-2022.msu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vsta_2019_setup_ENU_16.0.35907.exe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19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Construction / Homebuilding. Based on that classification, the data Technijian's stack is helping protect is most likely characterized as: PII (employees, customers).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Construction firms typically have minimal regulatory compliance obligations beyond general business privacy law (CCPA for California-resident data, OSHA for safety records). Government contracts (DoD, DOE) bring CMMC or NIST 800-171 into scope when applicable.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'CCC'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