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February 2026, Technijian deployed 7 patches across 3 CCC endpoints — 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CCC's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CCC-DC-TSVDI-01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CCC-DC-SQL-02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CCC-DC-AD-01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42.9%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85.7%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 Revo Group,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4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windows10.0-kb5075906-x64-2022.msu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MicrosoftEdgeWebView2RuntimeInstallerX64_145.0.3800.65.exe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revosetup_2.6.8.exe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MicrosoftEdgeWebView2RuntimeInstallerX64_145.0.3800.82.exe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February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February 2026, Technijian has deployed 26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3 of your endpoints during February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Construction / Homebuilding. Based on that classification, the data Technijian's stack is helping protect is most likely characterized as: PII (employees, customers).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Construction firms typically have minimal regulatory compliance obligations beyond general business privacy law (CCPA for California-resident data, OSHA for safety records). Government contracts (DoD, DOE) bring CMMC or NIST 800-171 into scope when applicable.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'CCC' covering February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