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CCC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17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3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March 2026, Technijian deployed 17 patches across 3 CCC endpoints — 17 via the automated patch pipeline and 0 delivered hands-on by Technijian's tech team. 0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CCC's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CCC_Patches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SUSPENDED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CCC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  <w:tr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CCC Patch Management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CCC Deployment Policy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CCC-DC-SQL-02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CCC-DC-TSVDI-01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CCC-DC-AD-01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11.1%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44.4%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16.7%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27.8%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55.6%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33.3%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 Systems,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11.1%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10 unique patches were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windows10.0-kb5078766-x64-2022.msu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windows10.0-kb5082314-x64-2022.msu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googlechromestandaloneenterprise64_146.0.7680.154.msi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MicrosoftEdgeWebView2RuntimeInstallerX64_146.0.3856.59.exe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googlechromestandaloneenterprise64_146.0.7680.80.msi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googlechromestandaloneenterprise64_146.0.7680.76.msi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cisco-secure-client-win-5.1.16.194-core-vpn-predeploy-k9.msi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microsoftedgeenterprise_146.0.3856.59_x64.msi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SQLServer2019-KB5077469-x64.exe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cisco-secure-client-win-5.1.15.287-core-vpn-predeploy-k9.msi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Year-to-Date Patch Coverage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Cumulative 2026 patch deployment totals through March 2026, month by month. The running totals show Technijian's protection compounding across the calendar year.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Month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Deployed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Critical Patches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 Patched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YTD Total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January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February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26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March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45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Through March 2026, Technijian has deployed 45 patches year-to-date — including 0 Critical-severity vulnerabilities closed.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17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3 of your endpoints during March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2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3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20:59-02:00 on Fri,Sat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ManageEngine announced no major platform changes this month. Routine detection-content updates and sensor improvements continued to roll out automatically. Technijian tracks ManageEngine's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Compliance Alignment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client's industry classification is Construction / Homebuilding. Based on that classification, the data Technijian's stack is helping protect is most likely characterized as: PII (employees, customers).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1"/>
        </w:rPr>
        <w:t>Construction firms typically have minimal regulatory compliance obligations beyond general business privacy law (CCPA for California-resident data, OSHA for safety records). Government contracts (DoD, DOE) bring CMMC or NIST 800-171 into scope when applicable.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How Technijian's monitoring stack supports each framework: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California CCPA: </w:t>
      </w:r>
      <w:r>
        <w:rPr>
          <w:rFonts w:ascii="Open Sans" w:hAnsi="Open Sans"/>
          <w:b w:val="0"/>
          <w:i w:val="0"/>
          <w:color w:val="59595B"/>
          <w:sz w:val="22"/>
        </w:rPr>
        <w:t>breach-detection and incident-response capabilities support CCPA §1798.150 reasonable-security obligations and the 72-hour notification window for incidents involving California-resident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19"/>
        </w:rPr>
        <w:t>This classification was generated automatically from the client's name and contact-domain signals. If the industry or compliance scope shown here doesn't match your operations, please reply to this report and we'll update the classification — Technijian's team can also produce a deeper compliance-posture report on request.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patch deployment infrastructure is healthy, the schedule is being honored, and endpoint coverage is complete. No action items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19:02 for client 'CCC' covering March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