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CCC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22%</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87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CCC as of 2026-05-02. Total capacity is 2.0 TB with a projected runway of 87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bkp_CCC</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 TB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87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DS-NBD1-CCC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87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March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87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'CCC' covering March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