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CCC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22%</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87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CCC as of 2026-05-02. Total capacity is 2.0 TB with a projected runway of 87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bkp_CCC</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87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DS-NBD1-CCC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87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April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87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'CCC'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