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CrowdStrike Security Activity Report</w:t>
      </w:r>
    </w:p>
    <w:p>
      <w:pPr>
        <w:spacing w:after="120"/>
        <w:jc w:val="center"/>
      </w:pPr>
      <w:r>
        <w:rPr>
          <w:rFonts w:ascii="Open Sans" w:hAnsi="Open Sans"/>
          <w:b w:val="0"/>
          <w:i w:val="0"/>
          <w:color w:val="59595B"/>
          <w:sz w:val="32"/>
        </w:rPr>
        <w:t>Disruptix Talent Solutions</w:t>
      </w:r>
    </w:p>
    <w:p>
      <w:pPr>
        <w:jc w:val="center"/>
      </w:pPr>
      <w:r>
        <w:rPr>
          <w:rFonts w:ascii="Open Sans" w:hAnsi="Open Sans"/>
          <w:b w:val="0"/>
          <w:i w:val="0"/>
          <w:color w:val="59595B"/>
          <w:sz w:val="24"/>
        </w:rPr>
        <w:t>April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Disruptix Talent Solutions during April 2026. The CrowdStrike Falcon endpoint detection and response (EDR) platform protected your environment and Technijian's security operations team reviewed every alert. Below is a plain-English summary of what was detected,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14</w:t>
            </w:r>
          </w:p>
          <w:p>
            <w:pPr>
              <w:spacing w:before="0" w:after="240"/>
              <w:jc w:val="center"/>
            </w:pPr>
            <w:r>
              <w:rPr>
                <w:rFonts w:ascii="Open Sans" w:hAnsi="Open Sans"/>
                <w:b w:val="0"/>
                <w:i w:val="0"/>
                <w:color w:val="59595B"/>
                <w:sz w:val="20"/>
              </w:rPr>
              <w:t>Total Alerts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0</w:t>
            </w:r>
          </w:p>
          <w:p>
            <w:pPr>
              <w:spacing w:before="0" w:after="240"/>
              <w:jc w:val="center"/>
            </w:pPr>
            <w:r>
              <w:rPr>
                <w:rFonts w:ascii="Open Sans" w:hAnsi="Open Sans"/>
                <w:b w:val="0"/>
                <w:i w:val="0"/>
                <w:color w:val="59595B"/>
                <w:sz w:val="20"/>
              </w:rPr>
              <w:t>Critical / High</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2</w:t>
            </w:r>
          </w:p>
          <w:p>
            <w:pPr>
              <w:spacing w:before="0" w:after="240"/>
              <w:jc w:val="center"/>
            </w:pPr>
            <w:r>
              <w:rPr>
                <w:rFonts w:ascii="Open Sans" w:hAnsi="Open Sans"/>
                <w:b w:val="0"/>
                <w:i w:val="0"/>
                <w:color w:val="59595B"/>
                <w:sz w:val="20"/>
              </w:rPr>
              <w:t>Hosts Affected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2</w:t>
            </w:r>
          </w:p>
          <w:p>
            <w:pPr>
              <w:spacing w:before="0" w:after="240"/>
              <w:jc w:val="center"/>
            </w:pPr>
            <w:r>
              <w:rPr>
                <w:rFonts w:ascii="Open Sans" w:hAnsi="Open Sans"/>
                <w:b w:val="0"/>
                <w:i w:val="0"/>
                <w:color w:val="59595B"/>
                <w:sz w:val="20"/>
              </w:rPr>
              <w:t>Alert Categories</w:t>
            </w:r>
          </w:p>
        </w:tc>
      </w:tr>
    </w:tbl>
    <w:tbl>
      <w:tblPr>
        <w:tblW w:type="auto" w:w="0"/>
        <w:tblLook w:firstColumn="1" w:firstRow="1" w:lastColumn="0" w:lastRow="0" w:noHBand="0" w:noVBand="1" w:val="04A0"/>
      </w:tblPr>
      <w:tblGrid>
        <w:gridCol w:w="9360"/>
      </w:tblGrid>
      <w:tr>
        <w:tc>
          <w:tcPr>
            <w:tcW w:type="dxa" w:w="9360"/>
            <w:shd w:val="clear" w:color="auto" w:fill="EAF7EE"/>
            <w:tcBorders>
              <w:top w:val="single" w:sz="12" w:color="28A745"/>
              <w:left w:val="single" w:sz="12" w:color="28A745"/>
              <w:bottom w:val="single" w:sz="12" w:color="28A745"/>
              <w:right w:val="single" w:sz="12" w:color="28A745"/>
            </w:tcBorders>
          </w:tcPr>
          <w:p>
            <w:pPr>
              <w:spacing w:before="120" w:after="120"/>
            </w:pPr>
            <w:r>
              <w:rPr>
                <w:rFonts w:ascii="Open Sans" w:hAnsi="Open Sans"/>
                <w:b w:val="0"/>
                <w:i w:val="0"/>
                <w:color w:val="1A1A2E"/>
                <w:sz w:val="22"/>
              </w:rPr>
              <w:t>No Critical or High severity alerts fired this month. Falcon continued to monitor your environment 24x7 and Technijian's team reviewed all 14 detection(s) raised.</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During April 2026, CrowdStrike Falcon raised 14 alert(s) across 2 endpoint(s). Each alert was reviewed by Technijian's security operations team. The breakdown below shows what was detected and at what severity.</w:t>
      </w:r>
    </w:p>
    <w:p/>
    <w:p>
      <w:pPr>
        <w:spacing w:after="160"/>
      </w:pPr>
      <w:r>
        <w:rPr>
          <w:rFonts w:ascii="Open Sans" w:hAnsi="Open Sans"/>
          <w:b/>
          <w:i w:val="0"/>
          <w:color w:val="1A1A2E"/>
          <w:sz w:val="24"/>
        </w:rPr>
        <w:t>Alerts by severity</w:t>
      </w:r>
    </w:p>
    <w:tbl>
      <w:tblPr>
        <w:tblW w:type="auto" w:w="0"/>
        <w:tblLayout w:type="fixed"/>
        <w:tblLook w:firstColumn="1" w:firstRow="1" w:lastColumn="0" w:lastRow="0" w:noHBand="0" w:noVBand="1" w:val="04A0"/>
      </w:tblPr>
      <w:tblGrid>
        <w:gridCol w:w="4680"/>
        <w:gridCol w:w="4680"/>
      </w:tblGrid>
      <w:tr>
        <w:tc>
          <w:tcPr>
            <w:tcW w:type="dxa" w:w="50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14</w:t>
            </w:r>
          </w:p>
        </w:tc>
      </w:tr>
    </w:tbl>
    <w:p/>
    <w:p>
      <w:pPr>
        <w:spacing w:after="160"/>
      </w:pPr>
      <w:r>
        <w:rPr>
          <w:rFonts w:ascii="Open Sans" w:hAnsi="Open Sans"/>
          <w:b/>
          <w:i w:val="0"/>
          <w:color w:val="1A1A2E"/>
          <w:sz w:val="24"/>
        </w:rPr>
        <w:t>Detection categories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Detection Signal</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Correlated Alert</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bl>
    <w:p/>
    <w:p>
      <w:pPr>
        <w:spacing w:after="160"/>
      </w:pPr>
      <w:r>
        <w:rPr>
          <w:rFonts w:ascii="Open Sans" w:hAnsi="Open Sans"/>
          <w:b/>
          <w:i w:val="0"/>
          <w:color w:val="1A1A2E"/>
          <w:sz w:val="24"/>
        </w:rPr>
        <w:t>MITRE ATT&amp;CK tactics observed</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Most active endpoints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ALEX-DISRUPTIX</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JEN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bl>
    <w:p/>
    <w:p>
      <w:pPr>
        <w:spacing w:after="160"/>
      </w:pPr>
      <w:r>
        <w:rPr>
          <w:rFonts w:ascii="Open Sans" w:hAnsi="Open Sans"/>
          <w:b/>
          <w:i w:val="0"/>
          <w:color w:val="1A1A2E"/>
          <w:sz w:val="24"/>
        </w:rPr>
        <w:t>Alert detail</w:t>
      </w:r>
    </w:p>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SuspiciousFileWritten</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ALEX-DISRUPTIX</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ALEX-DISRUPTIX at 2026-04-20T15:14:30Z</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ALEX-DISRUPTIX</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GenericSystemOwnerUserDiscovery</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ALEX-DISRUPTIX</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SuspiciousFileWritten</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JEN</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JEN at 2026-04-14T00:24:18Z</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JEN</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MaliciousModule</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JEN</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ALEX-DISRUPTIX</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ALEX-DISRUPTIX</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SuspiciousFileWritten</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ALEX-DISRUPTIX</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ALEX-DISRUPTIX</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SensorHandleOpenedLow</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ALEX-DISRUPTIX</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ALEX-DISRUPTIX</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ALEX-DISRUPTIX at 2026-04-03T12:48:42Z</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ALEX-DISRUPTIX</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ALEX-DISRUPTIX</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CrowdStrike Falcon monitored your endpoints 24x7 using behavioral AI and threat intelligence. Every process, network connection, and file operation was inspected in real time.</w:t>
      </w:r>
    </w:p>
    <w:p>
      <w:pPr>
        <w:pStyle w:val="ListBullet"/>
        <w:spacing w:after="80"/>
      </w:pPr>
      <w:r>
        <w:rPr>
          <w:rFonts w:ascii="Open Sans" w:hAnsi="Open Sans"/>
          <w:b/>
          <w:i w:val="0"/>
          <w:color w:val="1A1A2E"/>
          <w:sz w:val="22"/>
        </w:rPr>
        <w:t xml:space="preserve">Alert triage. </w:t>
      </w:r>
      <w:r>
        <w:rPr>
          <w:rFonts w:ascii="Open Sans" w:hAnsi="Open Sans"/>
          <w:b w:val="0"/>
          <w:i w:val="0"/>
          <w:color w:val="59595B"/>
          <w:sz w:val="22"/>
        </w:rPr>
        <w:t>Our security operations team reviewed all 14 alert(s) raised this month and classified each by severity and risk.</w:t>
      </w:r>
    </w:p>
    <w:p>
      <w:pPr>
        <w:pStyle w:val="ListBullet"/>
        <w:spacing w:after="80"/>
      </w:pPr>
      <w:r>
        <w:rPr>
          <w:rFonts w:ascii="Open Sans" w:hAnsi="Open Sans"/>
          <w:b/>
          <w:i w:val="0"/>
          <w:color w:val="1A1A2E"/>
          <w:sz w:val="22"/>
        </w:rPr>
        <w:t xml:space="preserve">Threat intelligence. </w:t>
      </w:r>
      <w:r>
        <w:rPr>
          <w:rFonts w:ascii="Open Sans" w:hAnsi="Open Sans"/>
          <w:b w:val="0"/>
          <w:i w:val="0"/>
          <w:color w:val="59595B"/>
          <w:sz w:val="22"/>
        </w:rPr>
        <w:t>Detections were cross-referenced with CrowdStrike's global threat intelligence database and MITRE ATT&amp;CK framework to identify adversary tactics and techniques.</w:t>
      </w:r>
    </w:p>
    <w:p>
      <w:pPr>
        <w:pStyle w:val="ListBullet"/>
        <w:spacing w:after="80"/>
      </w:pPr>
      <w:r>
        <w:rPr>
          <w:rFonts w:ascii="Open Sans" w:hAnsi="Open Sans"/>
          <w:b/>
          <w:i w:val="0"/>
          <w:color w:val="1A1A2E"/>
          <w:sz w:val="22"/>
        </w:rPr>
        <w:t xml:space="preserve">Incident coordination. </w:t>
      </w:r>
      <w:r>
        <w:rPr>
          <w:rFonts w:ascii="Open Sans" w:hAnsi="Open Sans"/>
          <w:b w:val="0"/>
          <w:i w:val="0"/>
          <w:color w:val="59595B"/>
          <w:sz w:val="22"/>
        </w:rPr>
        <w:t>No escalated incidents required response this month. All detections were resolved within normal triage workflow.</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Endpoint inventory, sensor version, and detection telemetry were captured to support your security posture reviews and compliance reporting.</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CrowdStrike announced no major platform changes this month. Routine detection-content updates and sensor improvements continued to roll out automatically. Technijian tracks CrowdStrike's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spacing w:after="160"/>
      </w:pPr>
      <w:r>
        <w:rPr>
          <w:rFonts w:ascii="Open Sans" w:hAnsi="Open Sans"/>
          <w:b w:val="0"/>
          <w:i w:val="0"/>
          <w:color w:val="59595B"/>
          <w:sz w:val="22"/>
        </w:rPr>
        <w:t>No Critical or High severity alerts fired this month. Continue operating under your current Falcon policy and email support@technijian.com if you plan to add or remove endpoints.</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Compliance Alignment</w:t>
            </w:r>
          </w:p>
        </w:tc>
      </w:tr>
    </w:tbl>
    <w:p>
      <w:pPr>
        <w:spacing w:after="160"/>
      </w:pPr>
      <w:r>
        <w:rPr>
          <w:rFonts w:ascii="Open Sans" w:hAnsi="Open Sans"/>
          <w:b w:val="0"/>
          <w:i w:val="0"/>
          <w:color w:val="59595B"/>
          <w:sz w:val="22"/>
        </w:rPr>
        <w:t>This client's industry classification is Staffing / Talent. Based on that classification, the data Technijian's stack is helping protect is most likely characterized as: Candidate PII.</w:t>
      </w:r>
    </w:p>
    <w:p>
      <w:pPr>
        <w:spacing w:after="160"/>
      </w:pPr>
      <w:r>
        <w:rPr>
          <w:rFonts w:ascii="Open Sans" w:hAnsi="Open Sans"/>
          <w:b w:val="0"/>
          <w:i w:val="0"/>
          <w:color w:val="59595B"/>
          <w:sz w:val="21"/>
        </w:rPr>
        <w:t>Staffing firms collect candidate PII (SSN, prior employment, references) and run background checks (FCRA). California CCPA imposes specific job-applicant disclosure rules.</w:t>
      </w:r>
    </w:p>
    <w:p>
      <w:pPr>
        <w:spacing w:after="160"/>
      </w:pPr>
      <w:r>
        <w:rPr>
          <w:rFonts w:ascii="Open Sans" w:hAnsi="Open Sans"/>
          <w:b/>
          <w:i w:val="0"/>
          <w:color w:val="1A1A2E"/>
          <w:sz w:val="22"/>
        </w:rPr>
        <w:t>How Technijian's monitoring stack supports each framework:</w:t>
      </w:r>
    </w:p>
    <w:p>
      <w:pPr>
        <w:pStyle w:val="ListBullet"/>
        <w:spacing w:after="80"/>
      </w:pPr>
      <w:r>
        <w:rPr>
          <w:rFonts w:ascii="Open Sans" w:hAnsi="Open Sans"/>
          <w:b/>
          <w:i w:val="0"/>
          <w:color w:val="1A1A2E"/>
          <w:sz w:val="22"/>
        </w:rPr>
        <w:t xml:space="preserve">California CCPA: </w:t>
      </w:r>
      <w:r>
        <w:rPr>
          <w:rFonts w:ascii="Open Sans" w:hAnsi="Open Sans"/>
          <w:b w:val="0"/>
          <w:i w:val="0"/>
          <w:color w:val="59595B"/>
          <w:sz w:val="22"/>
        </w:rPr>
        <w:t>breach-detection and incident-response capabilities support CCPA §1798.150 reasonable-security obligations and the 72-hour notification window for incidents involving California-resident PII.</w:t>
      </w:r>
    </w:p>
    <w:p>
      <w:pPr>
        <w:pStyle w:val="ListBullet"/>
        <w:spacing w:after="80"/>
      </w:pPr>
      <w:r>
        <w:rPr>
          <w:rFonts w:ascii="Open Sans" w:hAnsi="Open Sans"/>
          <w:b/>
          <w:i w:val="0"/>
          <w:color w:val="1A1A2E"/>
          <w:sz w:val="22"/>
        </w:rPr>
        <w:t xml:space="preserve">FCRA: </w:t>
      </w:r>
      <w:r>
        <w:rPr>
          <w:rFonts w:ascii="Open Sans" w:hAnsi="Open Sans"/>
          <w:b w:val="0"/>
          <w:i w:val="0"/>
          <w:color w:val="59595B"/>
          <w:sz w:val="22"/>
        </w:rPr>
        <w:t>audit logging around access to consumer-report data supports the FCRA §607 permissible-purpose and accuracy obligations.</w:t>
      </w:r>
    </w:p>
    <w:p>
      <w:pPr>
        <w:spacing w:after="160"/>
      </w:pPr>
      <w:r>
        <w:rPr>
          <w:rFonts w:ascii="Open Sans" w:hAnsi="Open Sans"/>
          <w:b w:val="0"/>
          <w:i w:val="0"/>
          <w:color w:val="59595B"/>
          <w:sz w:val="19"/>
        </w:rPr>
        <w:t>This classification was generated automatically from the client's name and contact-domain signals. If the industry or compliance scope shown here doesn't match your operations, please reply to this report and we'll update the classification — Technijian's team can also produce a deeper compliance-posture report on request.</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CrowdStrike Falcon and Huntress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CrowdStrike and Huntress are deliberately complementary. CrowdStrike's Falcon is industry-leading nation-state-grade EDR with the broadest telemetry collection and the most mature threat-intel feed in the market. Huntress is tuned for the SMB and mid-market threat landscape — phishing-driven footholds, persistence tradecraft, credential theft, and the kinds of attacks that target managed-service customers.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CrowdStrike's Overwatch team and Huntress's SOC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delivers 24x7 endpoint detection and response (EDR) powered by the CrowdStrike Falcon platform. Activity captured here is pulled directly from the Falcon API for your tenant. Alert and incident data is filtered to the calendar month above. Endpoint inventory, when available, is a point-in-time snapshot taken at report generation.</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