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Disruptix Talent Solutions</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Disruptix Talent Solutions during March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4</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4</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4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March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4 of 4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5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DESKTOP-AI6612F</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Miller-Computer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Staffing / Talent. Based on that classification, the data Technijian's stack is helping protect is most likely characterized as: Candidate PII.</w:t>
      </w:r>
    </w:p>
    <w:p>
      <w:pPr>
        <w:spacing w:after="160"/>
      </w:pPr>
      <w:r>
        <w:rPr>
          <w:rFonts w:ascii="Open Sans" w:hAnsi="Open Sans"/>
          <w:b w:val="0"/>
          <w:i w:val="0"/>
          <w:color w:val="59595B"/>
          <w:sz w:val="21"/>
        </w:rPr>
        <w:t>Staffing firms collect candidate PII (SSN, prior employment, references) and run background checks (FCRA). California CCPA imposes specific job-applicant disclosure rules.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pStyle w:val="ListBullet"/>
        <w:spacing w:after="80"/>
      </w:pPr>
      <w:r>
        <w:rPr>
          <w:rFonts w:ascii="Open Sans" w:hAnsi="Open Sans"/>
          <w:b/>
          <w:i w:val="0"/>
          <w:color w:val="1A1A2E"/>
          <w:sz w:val="22"/>
        </w:rPr>
        <w:t xml:space="preserve">FCRA: </w:t>
      </w:r>
      <w:r>
        <w:rPr>
          <w:rFonts w:ascii="Open Sans" w:hAnsi="Open Sans"/>
          <w:b w:val="0"/>
          <w:i w:val="0"/>
          <w:color w:val="59595B"/>
          <w:sz w:val="22"/>
        </w:rPr>
        <w:t>audit logging around access to consumer-report data supports the FCRA §607 permissible-purpose and accuracy obligations.</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