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DTS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17 patches across 3 DTS endpoints — 17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DTS's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21:00 – 03:00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Alex-DisruptiX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Miller-Computer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Jen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Meltytech, LLC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Audacity Team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17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Office365_installer_19426.20218_currentx64.exe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windows11.0-kb5078127-arm64-25H2_win11.msu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Dell-Pair-Application_97PXN_WIN64_1.2.8_A00.EXE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windowsdesktop-runtime-9.0.12-win-x64.exe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windowsdesktop-runtime-6.0.36-win-x64.exe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windows11.0-kb5077744-arm64-25H2_win11.msu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shotcut-win64-25.12.31.exe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audacity-win-3.7.7-32bit.exe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19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3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8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21:00-03:00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Staffing / Talent. Based on that classification, the data Technijian's stack is helping protect is most likely characterized as: Candidate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Staffing firms collect candidate PII (SSN, prior employment, references) and run background checks (FCRA). California CCPA imposes specific job-applicant disclosure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FCRA: </w:t>
      </w:r>
      <w:r>
        <w:rPr>
          <w:rFonts w:ascii="Open Sans" w:hAnsi="Open Sans"/>
          <w:b w:val="0"/>
          <w:i w:val="0"/>
          <w:color w:val="59595B"/>
          <w:sz w:val="22"/>
        </w:rPr>
        <w:t>audit logging around access to consumer-report data supports the FCRA §607 permissible-purpose and accuracy obligations.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'DTS'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