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HHOC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11 patches across 2 HHOC endpoints — 11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HHOC's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HHOC Patch Management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HHCA-Maritza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DESKTOP-PDULRRL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11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11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20:00-02:00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Healthcare. Based on that classification, the data Technijian's stack is helping protect is most likely characterized as: PHI.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All endpoints handle Protected Health Information (PHI). HIPAA Security Rule (45 CFR §164.302-318) requires administrative, physical, and technical safeguards. The HITECH Act extends breach-notification and audit obligations. California CMIA (Civil Code §56) adds state-specific patient confidentiality rules.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HIPAA: </w:t>
      </w:r>
      <w:r>
        <w:rPr>
          <w:rFonts w:ascii="Open Sans" w:hAnsi="Open Sans"/>
          <w:b w:val="0"/>
          <w:i w:val="0"/>
          <w:color w:val="59595B"/>
          <w:sz w:val="22"/>
        </w:rPr>
        <w:t>endpoint detection &amp; response (Huntress + CrowdStrike), patch management (Endpoint Central), access auditing, and 24x7 incident response satisfy the technical safeguard requirements of 45 CFR §164.312 (access control, audit controls, integrity, transmission security).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HITECH: </w:t>
      </w:r>
      <w:r>
        <w:rPr>
          <w:rFonts w:ascii="Open Sans" w:hAnsi="Open Sans"/>
          <w:b w:val="0"/>
          <w:i w:val="0"/>
          <w:color w:val="59595B"/>
          <w:sz w:val="22"/>
        </w:rPr>
        <w:t>automated detection of suspicious access events and Technijian's documented incident-response process keeps the breach-notification clock from running silently — any potential PHI exposure is investigated and timestamped within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CMIA: </w:t>
      </w:r>
      <w:r>
        <w:rPr>
          <w:rFonts w:ascii="Open Sans" w:hAnsi="Open Sans"/>
          <w:b w:val="0"/>
          <w:i w:val="0"/>
          <w:color w:val="59595B"/>
          <w:sz w:val="22"/>
        </w:rPr>
        <w:t>the same access-auditing and detection pipeline that supports HIPAA also covers California's stricter CMIA confidentiality requirements for medical information.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'HHOC'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