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Jerry Seiner Dealerships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Jerry Seiner Dealerships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0 of 0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 Trucking. Based on that classification, the data Technijian's stack is helping protect is most likely characterized as: Customer PII / Financial.</w:t>
      </w:r>
    </w:p>
    <w:p>
      <w:pPr>
        <w:spacing w:after="160"/>
      </w:pPr>
      <w:r>
        <w:rPr>
          <w:rFonts w:ascii="Open Sans" w:hAnsi="Open Sans"/>
          <w:b w:val="0"/>
          <w:i w:val="0"/>
          <w:color w:val="59595B"/>
          <w:sz w:val="21"/>
        </w:rPr>
        <w:t>Auto dealers fall under the FTC Safeguards Rule for customer financial data; trucking falls under DOT regs. Both handle California-resident PII triggering CCPA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