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Kabuki Springs and Spa</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Kabuki Springs and Spa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21</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10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21 alert(s) across 3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 at 2026-02-25T21:38:17Z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 at 2026-02-10T09:02:16Z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Rundll32RenamedWritten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 at 2026-02-14T10:21:47Z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 at 2026-02-08T20:01:01Z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PortScanningRdpThresholdHigh</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21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Rundll32RenamedWritten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PortScanningRdpThresholdHigh</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Hospitality. Based on that classification, the data Technijian's stack is helping protect is most likely characterized as: PCI / Guest PII.</w:t>
      </w:r>
    </w:p>
    <w:p>
      <w:pPr>
        <w:spacing w:after="160"/>
      </w:pPr>
      <w:r>
        <w:rPr>
          <w:rFonts w:ascii="Open Sans" w:hAnsi="Open Sans"/>
          <w:b w:val="0"/>
          <w:i w:val="0"/>
          <w:color w:val="59595B"/>
          <w:sz w:val="21"/>
        </w:rPr>
        <w:t>Hotels and spas process card-present and card-not-present transactions, putting them firmly in PCI DSS scope. Guest PII (passport scans, ID) drives CCPA and state breach-notification obligations.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