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NOR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NOR endpoints during February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NOR's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NOR_Patches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SUSPENDED</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  Patch Management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 Deployment Policy</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No patches were released by vendors that applied to this client's endpoints during this month. The automated patch scanning ran on schedule throughout the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February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February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bl>
    <w:p>
      <w:pPr>
        <w:spacing w:after="160"/>
      </w:pPr>
      <w:r>
        <w:rPr>
          <w:rFonts w:ascii="Open Sans" w:hAnsi="Open Sans"/>
          <w:b/>
          <w:i w:val="0"/>
          <w:color w:val="1A1A2E"/>
          <w:sz w:val="22"/>
        </w:rPr>
        <w:t>Through February 2026, Technijian has deployed 6 patches year-to-date — including 0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20:59-02:00 on Fri,Sat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Hospitality. Based on that classification, the data Technijian's stack is helping protect is most likely characterized as: PCI / Guest PII.</w:t>
      </w:r>
    </w:p>
    <w:p>
      <w:pPr>
        <w:spacing w:after="160"/>
      </w:pPr>
      <w:r>
        <w:rPr>
          <w:rFonts w:ascii="Open Sans" w:hAnsi="Open Sans"/>
          <w:b w:val="0"/>
          <w:i w:val="0"/>
          <w:color w:val="59595B"/>
          <w:sz w:val="21"/>
        </w:rPr>
        <w:t>Hotels and spas process card-present and card-not-present transactions, putting them firmly in PCI DSS scope. Guest PII (passport scans, ID) drives CCPA and state breach-notification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Stay the course: </w:t>
      </w:r>
      <w:r>
        <w:rPr>
          <w:rFonts w:ascii="Open Sans" w:hAnsi="Open Sans"/>
          <w:b w:val="0"/>
          <w:i w:val="0"/>
          <w:color w:val="59595B"/>
          <w:sz w:val="22"/>
        </w:rPr>
        <w:t>your patch deployment infrastructure is healthy, the schedule is being honored, and endpoint coverage is complete. No action items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19:02 for client 'NOR' covering February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