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NOR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37</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9</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April 2026, Technijian deployed 37 patches across 9 NOR endpoints — 37 via the automated patch pipeline and 0 delivered hands-on by Technijian's tech team. 0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NOR's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NOR_Patches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Patch Management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WKNOR-HOUSEKEEPING</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WKNOR-FOM</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WKNOR-CASSELLS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WKOR-KEYCARD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NOR-HQ-VBR-01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36.4%</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22.7%</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54.5%</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 Systems,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Google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6.8%</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ownCloud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LogMeIn,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27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windows-kb890830-x64-v5.140.exe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cisco-secure-client-win-5.1.16.194-dart-predeploy-k9.msi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googlechromestandaloneenterprise64_147.0.7727.102.msi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VC_redist.x64__14.50.35719.0.exe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VC_redist.x86__14.50.35719.0.exe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ownCloud-6.0.3.18040.x64.msi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windowsdesktop-runtime-8.0.26-win-x64.exe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TeamViewer_Setup_15.76.5.exe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cisco-secure-client-win-5.1.16.194-core-vpn-predeploy-k9.msi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windows11.0-kb5083769-x64-25H2_win11.msu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ZoomInstallerFull_7.0.2.34412_64.exe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windows11.0-kb5082417-x64-ndp481-25H2_win11.msu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Office365_installer_19822.20182_currentx64.exe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Office2021_installer_16.0.19822.20182_retail_x64.exe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VMware-tools-13.0.10-25056151-x64.exe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logmein_4.1.16162.msi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MicrosoftEdgeWebView2RuntimeInstallerX64_147.0.3912.72.exe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microsoftedgeenterprise_147.0.3912.72_x64.msi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dotnet-runtime-8.0.26-win-x64.exe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windowsdesktop-runtime-8.0.26-win-x86.exe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aspnetcore-runtime-8.0.26-win-x86.exe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windows11.0-kb5086672-x64-25H2_win11.msu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ZoomInstallerFull_7.0.1.34140_64.exe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windowsdesktop-runtime-8.0.25-win-x64.exe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Office365_installer_19822.20142_currentx64.exe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April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February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March</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April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w:t>
            </w:r>
          </w:p>
        </w:tc>
      </w:tr>
    </w:tbl>
    <w:p>
      <w:pPr>
        <w:spacing w:after="160"/>
      </w:pPr>
      <w:r>
        <w:rPr>
          <w:rFonts w:ascii="Open Sans" w:hAnsi="Open Sans"/>
          <w:b/>
          <w:i w:val="0"/>
          <w:color w:val="1A1A2E"/>
          <w:sz w:val="22"/>
        </w:rPr>
        <w:t>Through April 2026, Technijian has deployed 85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37 security and feature patches </w:t>
      </w:r>
      <w:r>
        <w:rPr>
          <w:rFonts w:ascii="Open Sans" w:hAnsi="Open Sans"/>
          <w:b w:val="0"/>
          <w:i w:val="0"/>
          <w:color w:val="59595B"/>
          <w:sz w:val="22"/>
        </w:rPr>
        <w:t>across 9 of your endpoints during April 2026, keeping your fleet aligned with vendor security baselines.</w:t>
      </w:r>
    </w:p>
    <w:p>
      <w:pPr>
        <w:pStyle w:val="ListBullet"/>
        <w:spacing w:after="80"/>
      </w:pPr>
      <w:r>
        <w:rPr>
          <w:rFonts w:ascii="Open Sans" w:hAnsi="Open Sans"/>
          <w:b/>
          <w:i w:val="0"/>
          <w:color w:val="1A1A2E"/>
          <w:sz w:val="22"/>
        </w:rPr>
        <w:t xml:space="preserve">Closed 16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9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Hospitality. Based on that classification, the data Technijian's stack is helping protect is most likely characterized as: PCI / Guest PII.</w:t>
      </w:r>
    </w:p>
    <w:p>
      <w:pPr>
        <w:spacing w:after="160"/>
      </w:pPr>
      <w:r>
        <w:rPr>
          <w:rFonts w:ascii="Open Sans" w:hAnsi="Open Sans"/>
          <w:b w:val="0"/>
          <w:i w:val="0"/>
          <w:color w:val="59595B"/>
          <w:sz w:val="21"/>
        </w:rPr>
        <w:t>Hotels and spas process card-present and card-not-present transactions, putting them firmly in PCI DSS scope. Guest PII (passport scans, ID) drives CCPA and state breach-notification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3 endpoint(s) received fewer patches than the fleet average this month, which often means the device was powered off during the patch window. Enabling WoL on these machines lets the pipeline reach them automatically during the next scheduled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'NOR' covering April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