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Cybersecurity Activity Report</w:t>
      </w:r>
    </w:p>
    <w:p>
      <w:pPr>
        <w:spacing w:after="120"/>
        <w:jc w:val="center"/>
      </w:pPr>
      <w:r>
        <w:rPr>
          <w:rFonts w:ascii="Open Sans" w:hAnsi="Open Sans"/>
          <w:b w:val="0"/>
          <w:i w:val="0"/>
          <w:color w:val="59595B"/>
          <w:sz w:val="32"/>
        </w:rPr>
        <w:t>Ortho Xpress</w:t>
      </w:r>
    </w:p>
    <w:p>
      <w:pPr>
        <w:jc w:val="center"/>
      </w:pPr>
      <w:r>
        <w:rPr>
          <w:rFonts w:ascii="Open Sans" w:hAnsi="Open Sans"/>
          <w:b w:val="0"/>
          <w:i w:val="0"/>
          <w:color w:val="59595B"/>
          <w:sz w:val="24"/>
        </w:rPr>
        <w:t>February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Ortho Xpress during February 2026. The Huntress managed detection and response (MDR) platform monitored your endpoints 24x7 and Technijian's security operations team reviewed every alert that fired. Below is a plain-English summary of what we saw,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83</w:t>
            </w:r>
          </w:p>
          <w:p>
            <w:pPr>
              <w:spacing w:before="0" w:after="240"/>
              <w:jc w:val="center"/>
            </w:pPr>
            <w:r>
              <w:rPr>
                <w:rFonts w:ascii="Open Sans" w:hAnsi="Open Sans"/>
                <w:b w:val="0"/>
                <w:i w:val="0"/>
                <w:color w:val="59595B"/>
                <w:sz w:val="20"/>
              </w:rPr>
              <w:t>Endpoints Protected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80</w:t>
            </w:r>
          </w:p>
          <w:p>
            <w:pPr>
              <w:spacing w:before="0" w:after="240"/>
              <w:jc w:val="center"/>
            </w:pPr>
            <w:r>
              <w:rPr>
                <w:rFonts w:ascii="Open Sans" w:hAnsi="Open Sans"/>
                <w:b w:val="0"/>
                <w:i w:val="0"/>
                <w:color w:val="59595B"/>
                <w:sz w:val="20"/>
              </w:rPr>
              <w:t>Active in Last 7 Days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5</w:t>
            </w:r>
          </w:p>
          <w:p>
            <w:pPr>
              <w:spacing w:before="0" w:after="240"/>
              <w:jc w:val="center"/>
            </w:pPr>
            <w:r>
              <w:rPr>
                <w:rFonts w:ascii="Open Sans" w:hAnsi="Open Sans"/>
                <w:b w:val="0"/>
                <w:i w:val="0"/>
                <w:color w:val="59595B"/>
                <w:sz w:val="20"/>
              </w:rPr>
              <w:t>Incidents Investigated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7</w:t>
            </w:r>
          </w:p>
          <w:p>
            <w:pPr>
              <w:spacing w:before="0" w:after="240"/>
              <w:jc w:val="center"/>
            </w:pPr>
            <w:r>
              <w:rPr>
                <w:rFonts w:ascii="Open Sans" w:hAnsi="Open Sans"/>
                <w:b w:val="0"/>
                <w:i w:val="0"/>
                <w:color w:val="59595B"/>
                <w:sz w:val="20"/>
              </w:rPr>
              <w:t>Signals Reviewed</w:t>
            </w:r>
          </w:p>
        </w:tc>
      </w:tr>
    </w:tbl>
    <w:tbl>
      <w:tblPr>
        <w:tblW w:type="auto" w:w="0"/>
        <w:tblLook w:firstColumn="1" w:firstRow="1" w:lastColumn="0" w:lastRow="0" w:noHBand="0" w:noVBand="1" w:val="04A0"/>
      </w:tblPr>
      <w:tblGrid>
        <w:gridCol w:w="9360"/>
      </w:tblGrid>
      <w:tr>
        <w:tc>
          <w:tcPr>
            <w:tcW w:type="dxa" w:w="9360"/>
            <w:shd w:val="clear" w:color="auto" w:fill="FEF3EE"/>
            <w:tcBorders>
              <w:top w:val="single" w:sz="12" w:color="F67D4B"/>
              <w:left w:val="single" w:sz="12" w:color="F67D4B"/>
              <w:bottom w:val="single" w:sz="12" w:color="F67D4B"/>
              <w:right w:val="single" w:sz="12" w:color="F67D4B"/>
            </w:tcBorders>
          </w:tcPr>
          <w:p>
            <w:pPr>
              <w:spacing w:before="120" w:after="120"/>
            </w:pPr>
            <w:r>
              <w:rPr>
                <w:rFonts w:ascii="Open Sans" w:hAnsi="Open Sans"/>
                <w:b w:val="0"/>
                <w:i w:val="0"/>
                <w:color w:val="1A1A2E"/>
                <w:sz w:val="22"/>
              </w:rPr>
              <w:t>Attention items: 49 endpoint(s) with Microsoft Defender or firewall in a non-protected state; 2 endpoint(s) that have not phoned home in 30+ days. See Recommendations section below for the remediation list.</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Endpoint Protection</w:t>
            </w:r>
          </w:p>
        </w:tc>
      </w:tr>
    </w:tbl>
    <w:p>
      <w:pPr>
        <w:spacing w:after="160"/>
      </w:pPr>
      <w:r>
        <w:rPr>
          <w:rFonts w:ascii="Open Sans" w:hAnsi="Open Sans"/>
          <w:b w:val="0"/>
          <w:i w:val="0"/>
          <w:color w:val="59595B"/>
          <w:sz w:val="22"/>
        </w:rPr>
        <w:t>Every protected computer reports back to Huntress on a regular interval. The breakdown below shows which endpoints have been phoning home, how recently, and the state of their built-in defenses (Microsoft Defender + Windows Firewall).</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Metric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Total endpoints under management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83</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24 hours</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7 days</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80</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Stale (8 - 30 days since last check-in)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Inactive (more than 30 days since last check-in)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Never seen by the platform</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bl>
    <w:p/>
    <w:p>
      <w:pPr>
        <w:spacing w:after="160"/>
      </w:pPr>
      <w:r>
        <w:rPr>
          <w:rFonts w:ascii="Open Sans" w:hAnsi="Open Sans"/>
          <w:b/>
          <w:i w:val="0"/>
          <w:color w:val="1A1A2E"/>
          <w:sz w:val="24"/>
        </w:rPr>
        <w:t>Operating system distribution</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Operating System</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Pro</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62</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Server 2022 Standard</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15</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Server 2016 Standard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10 Pro</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macOS Tahoe 26</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Server 2008 R2 Standard</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Microsoft Defender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60</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21</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Incompatible</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bl>
    <w:p/>
    <w:p>
      <w:pPr>
        <w:spacing w:after="160"/>
      </w:pPr>
      <w:r>
        <w:rPr>
          <w:rFonts w:ascii="Open Sans" w:hAnsi="Open Sans"/>
          <w:b/>
          <w:i w:val="0"/>
          <w:color w:val="1A1A2E"/>
          <w:sz w:val="24"/>
        </w:rPr>
        <w:t>Windows Firewall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Disabled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44</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Enabled</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39</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During February 2026, Huntress raised 5 incident report(s) and surfaced 7 signal(s) on your environment. Each one was reviewed by Technijian's security operations team and routed to the appropriate response track. The breakdown is below.</w:t>
      </w:r>
    </w:p>
    <w:p/>
    <w:p>
      <w:pPr>
        <w:spacing w:after="160"/>
      </w:pPr>
      <w:r>
        <w:rPr>
          <w:rFonts w:ascii="Open Sans" w:hAnsi="Open Sans"/>
          <w:b/>
          <w:i w:val="0"/>
          <w:color w:val="1A1A2E"/>
          <w:sz w:val="24"/>
        </w:rPr>
        <w:t>Incidents by severity</w:t>
      </w:r>
    </w:p>
    <w:tbl>
      <w:tblPr>
        <w:tblW w:type="auto" w:w="0"/>
        <w:tblLayout w:type="fixed"/>
        <w:tblLook w:firstColumn="1" w:firstRow="1" w:lastColumn="0" w:lastRow="0" w:noHBand="0" w:noVBand="1" w:val="04A0"/>
      </w:tblPr>
      <w:tblGrid>
        <w:gridCol w:w="4680"/>
        <w:gridCol w:w="4680"/>
      </w:tblGrid>
      <w:tr>
        <w:tc>
          <w:tcPr>
            <w:tcW w:type="dxa" w:w="50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bl>
    <w:p/>
    <w:p>
      <w:pPr>
        <w:spacing w:after="160"/>
      </w:pPr>
      <w:r>
        <w:rPr>
          <w:rFonts w:ascii="Open Sans" w:hAnsi="Open Sans"/>
          <w:b/>
          <w:i w:val="0"/>
          <w:color w:val="1A1A2E"/>
          <w:sz w:val="24"/>
        </w:rPr>
        <w:t>Incident detail</w:t>
      </w:r>
    </w:p>
    <w:tbl>
      <w:tblPr>
        <w:tblW w:type="auto" w:w="0"/>
        <w:tblLayout w:type="fixed"/>
        <w:tblLook w:firstColumn="1" w:firstRow="1" w:lastColumn="0" w:lastRow="0" w:noHBand="0" w:noVBand="1" w:val="04A0"/>
      </w:tblPr>
      <w:tblGrid>
        <w:gridCol w:w="2340"/>
        <w:gridCol w:w="2340"/>
        <w:gridCol w:w="2340"/>
        <w:gridCol w:w="2340"/>
      </w:tblGrid>
      <w:tr>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c>
          <w:tcPr>
            <w:tcW w:type="dxa" w:w="48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Summary</w:t>
            </w:r>
          </w:p>
        </w:tc>
      </w:tr>
      <w:tr>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2026-02-21</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Sent</w:t>
            </w:r>
          </w:p>
        </w:tc>
        <w:tc>
          <w:tcPr>
            <w:tcW w:type="dxa" w:w="48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 - Incident on WKORX70 (ORX - Ortho Xpress)</w:t>
            </w:r>
          </w:p>
        </w:tc>
      </w:tr>
      <w:tr>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2026-02-17</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c>
          <w:tcPr>
            <w:tcW w:type="dxa" w:w="48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 - Incident on WKORX72 (ORX - Ortho Xpress)</w:t>
            </w:r>
          </w:p>
        </w:tc>
      </w:tr>
      <w:tr>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2026-02-17</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Sent</w:t>
            </w:r>
          </w:p>
        </w:tc>
        <w:tc>
          <w:tcPr>
            <w:tcW w:type="dxa" w:w="48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 - Incident on ORX-DC-TS-04 (ORX - Ortho Xpress)</w:t>
            </w:r>
          </w:p>
        </w:tc>
      </w:tr>
      <w:tr>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2026-02-13</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c>
          <w:tcPr>
            <w:tcW w:type="dxa" w:w="48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 - Incident on LPJRM01 (ORX - Ortho Xpress)</w:t>
            </w:r>
          </w:p>
        </w:tc>
      </w:tr>
      <w:tr>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2026-02-03</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Sent</w:t>
            </w:r>
          </w:p>
        </w:tc>
        <w:tc>
          <w:tcPr>
            <w:tcW w:type="dxa" w:w="48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 - Incident on WKORX55 (ORX - Ortho Xpress)</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Every endpoint was monitored 24x7 by the Huntress sensor. 80 of 83 agent(s) reported in within the last 7 days.</w:t>
      </w:r>
    </w:p>
    <w:p>
      <w:pPr>
        <w:pStyle w:val="ListBullet"/>
        <w:spacing w:after="80"/>
      </w:pPr>
      <w:r>
        <w:rPr>
          <w:rFonts w:ascii="Open Sans" w:hAnsi="Open Sans"/>
          <w:b/>
          <w:i w:val="0"/>
          <w:color w:val="1A1A2E"/>
          <w:sz w:val="22"/>
        </w:rPr>
        <w:t xml:space="preserve">Alert review. </w:t>
      </w:r>
      <w:r>
        <w:rPr>
          <w:rFonts w:ascii="Open Sans" w:hAnsi="Open Sans"/>
          <w:b w:val="0"/>
          <w:i w:val="0"/>
          <w:color w:val="59595B"/>
          <w:sz w:val="22"/>
        </w:rPr>
        <w:t>Our security operations team triaged 7 signal(s) and actioned 5 incident report(s) raised this month.</w:t>
      </w:r>
    </w:p>
    <w:p>
      <w:pPr>
        <w:pStyle w:val="ListBullet"/>
        <w:spacing w:after="80"/>
      </w:pPr>
      <w:r>
        <w:rPr>
          <w:rFonts w:ascii="Open Sans" w:hAnsi="Open Sans"/>
          <w:b/>
          <w:i w:val="0"/>
          <w:color w:val="1A1A2E"/>
          <w:sz w:val="22"/>
        </w:rPr>
        <w:t xml:space="preserve">Reports &amp; posture review. </w:t>
      </w:r>
      <w:r>
        <w:rPr>
          <w:rFonts w:ascii="Open Sans" w:hAnsi="Open Sans"/>
          <w:b w:val="0"/>
          <w:i w:val="0"/>
          <w:color w:val="59595B"/>
          <w:sz w:val="22"/>
        </w:rPr>
        <w:t>6 platform-generated security report(s) overlapped this month and were reviewed for trends and emerging risks.</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Microsoft Defender state, Windows Firewall state, agent version, and last-callback timestamp were captured for every endpoint to drive remediation discussions.</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Huntress announced no major platform changes this month. Routine detection-content updates and sensor improvements continued to roll out automatically. Technijian tracks Huntress's release notes monthly so future updates land in this section as they're published.</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spacing w:after="160"/>
      </w:pPr>
      <w:r>
        <w:rPr>
          <w:rFonts w:ascii="Open Sans" w:hAnsi="Open Sans"/>
          <w:b/>
          <w:i w:val="0"/>
          <w:color w:val="1A1A2E"/>
          <w:sz w:val="24"/>
        </w:rPr>
        <w:t>Endpoints not phoning home (30+ days)</w:t>
      </w:r>
    </w:p>
    <w:tbl>
      <w:tblPr>
        <w:tblW w:type="auto" w:w="0"/>
        <w:tblLayout w:type="fixed"/>
        <w:tblLook w:firstColumn="1" w:firstRow="1" w:lastColumn="0" w:lastRow="0" w:noHBand="0" w:noVBand="1" w:val="04A0"/>
      </w:tblPr>
      <w:tblGrid>
        <w:gridCol w:w="2340"/>
        <w:gridCol w:w="2340"/>
        <w:gridCol w:w="2340"/>
        <w:gridCol w:w="2340"/>
      </w:tblGrid>
      <w:tr>
        <w:tc>
          <w:tcPr>
            <w:tcW w:type="dxa" w:w="259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59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Last Seen</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State</w:t>
            </w:r>
          </w:p>
        </w:tc>
      </w:tr>
      <w:tr>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WKORX39</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Pro</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2026-01-21</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Inactive (&gt;30d)</w:t>
            </w:r>
          </w:p>
        </w:tc>
      </w:tr>
      <w:tr>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JRMED09</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Pro</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2026-01-19</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Inactive (&gt;30d)</w:t>
            </w:r>
          </w:p>
        </w:tc>
      </w:tr>
    </w:tbl>
    <w:p>
      <w:pPr>
        <w:spacing w:after="160"/>
      </w:pPr>
      <w:r>
        <w:rPr>
          <w:rFonts w:ascii="Open Sans" w:hAnsi="Open Sans"/>
          <w:b w:val="0"/>
          <w:i w:val="0"/>
          <w:color w:val="59595B"/>
          <w:sz w:val="22"/>
        </w:rPr>
        <w:t>Recommended action: confirm whether each computer is still in service. If retired or reimaged, please notify Technijian to decommission the agent. If still in service, the agent likely needs to be reinstalled or the device powered on.</w:t>
      </w:r>
    </w:p>
    <w:p/>
    <w:p>
      <w:pPr>
        <w:spacing w:after="160"/>
      </w:pPr>
      <w:r>
        <w:rPr>
          <w:rFonts w:ascii="Open Sans" w:hAnsi="Open Sans"/>
          <w:b/>
          <w:i w:val="0"/>
          <w:color w:val="1A1A2E"/>
          <w:sz w:val="24"/>
        </w:rPr>
        <w:t>Endpoints with Defender or firewall issues</w:t>
      </w:r>
    </w:p>
    <w:tbl>
      <w:tblPr>
        <w:tblW w:type="auto" w:w="0"/>
        <w:tblLayout w:type="fixed"/>
        <w:tblLook w:firstColumn="1" w:firstRow="1" w:lastColumn="0" w:lastRow="0" w:noHBand="0" w:noVBand="1" w:val="04A0"/>
      </w:tblPr>
      <w:tblGrid>
        <w:gridCol w:w="2340"/>
        <w:gridCol w:w="2340"/>
        <w:gridCol w:w="2340"/>
        <w:gridCol w:w="2340"/>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Policy</w:t>
            </w:r>
          </w:p>
        </w:tc>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WKORX69</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WKORX-05</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ORX-DC-SFTP-01</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ORX-DC-VDI-005</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ORX-DC-VDI-004</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ORX-DC-VDI-003</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ORX-DC-OPSPRB</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WKORX72</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ORX-DC-VDI-001</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ORX-DC-VDI-002</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ORX-DC-3CX-01</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OXPTEST</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WKORX66</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ORX-DC-IIS2</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ORX-DC-IIS1</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MacBook Pro (10)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Incompatible</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Unknown</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ORX-DC-TS-04</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ORX-DC-APP-04</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ORX-DC-SQL-02</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ORX-DC-SQL-03</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ORX-DC-FS-01</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ORX-DC-AD-03</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ORX-DC-AD-04</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ORX-DC-TS-03</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ORX-DC-FS-02</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OXPLIVE</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ORX-DC-APP-01</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WKORX57</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LPJRM01</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WKORX59</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bl>
    <w:p>
      <w:pPr>
        <w:spacing w:after="160"/>
      </w:pPr>
      <w:r>
        <w:rPr>
          <w:rFonts w:ascii="Open Sans" w:hAnsi="Open Sans"/>
          <w:b w:val="0"/>
          <w:i w:val="0"/>
          <w:color w:val="59595B"/>
          <w:sz w:val="20"/>
        </w:rPr>
        <w:t>... plus 19 more. Full list available on request — email support@technijian.com.</w:t>
      </w:r>
    </w:p>
    <w:p>
      <w:pPr>
        <w:spacing w:after="160"/>
      </w:pPr>
      <w:r>
        <w:rPr>
          <w:rFonts w:ascii="Open Sans" w:hAnsi="Open Sans"/>
          <w:b w:val="0"/>
          <w:i w:val="0"/>
          <w:color w:val="59595B"/>
          <w:sz w:val="22"/>
        </w:rPr>
        <w:t>Email support@technijian.com to review the listed endpoints with our team and schedule remediation. Common fixes include re-enabling Microsoft Defender, applying a missing Group Policy / Intune setting, or re-enabling Windows Firewall.</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Compliance Alignment</w:t>
            </w:r>
          </w:p>
        </w:tc>
      </w:tr>
    </w:tbl>
    <w:p>
      <w:pPr>
        <w:spacing w:after="160"/>
      </w:pPr>
      <w:r>
        <w:rPr>
          <w:rFonts w:ascii="Open Sans" w:hAnsi="Open Sans"/>
          <w:b w:val="0"/>
          <w:i w:val="0"/>
          <w:color w:val="59595B"/>
          <w:sz w:val="22"/>
        </w:rPr>
        <w:t>This client's industry classification is Healthcare. Based on that classification, the data Technijian's stack is helping protect is most likely characterized as: PHI.</w:t>
      </w:r>
    </w:p>
    <w:p>
      <w:pPr>
        <w:spacing w:after="160"/>
      </w:pPr>
      <w:r>
        <w:rPr>
          <w:rFonts w:ascii="Open Sans" w:hAnsi="Open Sans"/>
          <w:b w:val="0"/>
          <w:i w:val="0"/>
          <w:color w:val="59595B"/>
          <w:sz w:val="21"/>
        </w:rPr>
        <w:t>All endpoints handle Protected Health Information (PHI). HIPAA Security Rule (45 CFR §164.302-318) requires administrative, physical, and technical safeguards. The HITECH Act extends breach-notification and audit obligations. California CMIA (Civil Code §56) adds state-specific patient confidentiality rules.</w:t>
      </w:r>
    </w:p>
    <w:p>
      <w:pPr>
        <w:spacing w:after="160"/>
      </w:pPr>
      <w:r>
        <w:rPr>
          <w:rFonts w:ascii="Open Sans" w:hAnsi="Open Sans"/>
          <w:b/>
          <w:i w:val="0"/>
          <w:color w:val="1A1A2E"/>
          <w:sz w:val="22"/>
        </w:rPr>
        <w:t>How Technijian's monitoring stack supports each framework:</w:t>
      </w:r>
    </w:p>
    <w:p>
      <w:pPr>
        <w:pStyle w:val="ListBullet"/>
        <w:spacing w:after="80"/>
      </w:pPr>
      <w:r>
        <w:rPr>
          <w:rFonts w:ascii="Open Sans" w:hAnsi="Open Sans"/>
          <w:b/>
          <w:i w:val="0"/>
          <w:color w:val="1A1A2E"/>
          <w:sz w:val="22"/>
        </w:rPr>
        <w:t xml:space="preserve">HIPAA: </w:t>
      </w:r>
      <w:r>
        <w:rPr>
          <w:rFonts w:ascii="Open Sans" w:hAnsi="Open Sans"/>
          <w:b w:val="0"/>
          <w:i w:val="0"/>
          <w:color w:val="59595B"/>
          <w:sz w:val="22"/>
        </w:rPr>
        <w:t>endpoint detection &amp; response (Huntress + CrowdStrike), patch management (Endpoint Central), access auditing, and 24x7 incident response satisfy the technical safeguard requirements of 45 CFR §164.312 (access control, audit controls, integrity, transmission security).</w:t>
      </w:r>
    </w:p>
    <w:p>
      <w:pPr>
        <w:pStyle w:val="ListBullet"/>
        <w:spacing w:after="80"/>
      </w:pPr>
      <w:r>
        <w:rPr>
          <w:rFonts w:ascii="Open Sans" w:hAnsi="Open Sans"/>
          <w:b/>
          <w:i w:val="0"/>
          <w:color w:val="1A1A2E"/>
          <w:sz w:val="22"/>
        </w:rPr>
        <w:t xml:space="preserve">HITECH: </w:t>
      </w:r>
      <w:r>
        <w:rPr>
          <w:rFonts w:ascii="Open Sans" w:hAnsi="Open Sans"/>
          <w:b w:val="0"/>
          <w:i w:val="0"/>
          <w:color w:val="59595B"/>
          <w:sz w:val="22"/>
        </w:rPr>
        <w:t>automated detection of suspicious access events and Technijian's documented incident-response process keeps the breach-notification clock from running silently — any potential PHI exposure is investigated and timestamped within hours.</w:t>
      </w:r>
    </w:p>
    <w:p>
      <w:pPr>
        <w:pStyle w:val="ListBullet"/>
        <w:spacing w:after="80"/>
      </w:pPr>
      <w:r>
        <w:rPr>
          <w:rFonts w:ascii="Open Sans" w:hAnsi="Open Sans"/>
          <w:b/>
          <w:i w:val="0"/>
          <w:color w:val="1A1A2E"/>
          <w:sz w:val="22"/>
        </w:rPr>
        <w:t xml:space="preserve">California CMIA: </w:t>
      </w:r>
      <w:r>
        <w:rPr>
          <w:rFonts w:ascii="Open Sans" w:hAnsi="Open Sans"/>
          <w:b w:val="0"/>
          <w:i w:val="0"/>
          <w:color w:val="59595B"/>
          <w:sz w:val="22"/>
        </w:rPr>
        <w:t>the same access-auditing and detection pipeline that supports HIPAA also covers California's stricter CMIA confidentiality requirements for medical information.</w:t>
      </w:r>
    </w:p>
    <w:p>
      <w:pPr>
        <w:spacing w:after="160"/>
      </w:pPr>
      <w:r>
        <w:rPr>
          <w:rFonts w:ascii="Open Sans" w:hAnsi="Open Sans"/>
          <w:b w:val="0"/>
          <w:i w:val="0"/>
          <w:color w:val="59595B"/>
          <w:sz w:val="19"/>
        </w:rPr>
        <w:t>This classification was generated automatically from the client's name and contact-domain signals. If the industry or compliance scope shown here doesn't match your operations, please reply to this report and we'll update the classification — Technijian's team can also produce a deeper compliance-posture report on request.</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How This Protection Works</w:t>
            </w:r>
          </w:p>
        </w:tc>
      </w:tr>
    </w:tbl>
    <w:p>
      <w:pPr>
        <w:spacing w:after="160"/>
      </w:pPr>
      <w:r>
        <w:rPr>
          <w:rFonts w:ascii="Open Sans" w:hAnsi="Open Sans"/>
          <w:b w:val="0"/>
          <w:i w:val="0"/>
          <w:color w:val="59595B"/>
          <w:sz w:val="22"/>
        </w:rPr>
        <w:t>Your endpoints are protected by a layered security stack — Huntress and CrowdStrike Falcon working alongside each other — chosen and managed by Technijian as an MSP best-practice configuration. Here's what each piece does and why we run both.</w:t>
      </w:r>
    </w:p>
    <w:p>
      <w:pPr>
        <w:spacing w:after="160"/>
      </w:pPr>
      <w:r>
        <w:rPr>
          <w:rFonts w:ascii="Open Sans" w:hAnsi="Open Sans"/>
          <w:b/>
          <w:i w:val="0"/>
          <w:color w:val="1A1A2E"/>
          <w:sz w:val="24"/>
        </w:rPr>
        <w:t>Huntress: managed detection &amp; response with a 24×7 SOC</w:t>
      </w:r>
    </w:p>
    <w:p>
      <w:pPr>
        <w:spacing w:after="160"/>
      </w:pPr>
      <w:r>
        <w:rPr>
          <w:rFonts w:ascii="Open Sans" w:hAnsi="Open Sans"/>
          <w:b w:val="0"/>
          <w:i w:val="0"/>
          <w:color w:val="59595B"/>
          <w:sz w:val="22"/>
        </w:rPr>
        <w:t>Huntress runs its own Security Operations Center staffed with threat hunters who review every signal that fires on your endpoints around the clock — not just nights and weekends, but 24×7×365. When the Huntress agent flags suspicious behavior (persistence mechanisms, process injection, credential abuse, known-bad files), the activity is examined by Huntress threat hunters BEFORE it ever reaches Technijian. False positives are filtered out at the source so that what does reach our team is signal, not noise. When Huntress sees something that needs attention, they coordinate response with Technijian and provide guided remediation playbooks.</w:t>
      </w:r>
    </w:p>
    <w:p>
      <w:pPr>
        <w:spacing w:after="160"/>
      </w:pPr>
      <w:r>
        <w:rPr>
          <w:rFonts w:ascii="Open Sans" w:hAnsi="Open Sans"/>
          <w:b/>
          <w:i w:val="0"/>
          <w:color w:val="1A1A2E"/>
          <w:sz w:val="24"/>
        </w:rPr>
        <w:t>CrowdStrike Falcon: AI-driven EDR with the Falcon Overwatch SOC</w:t>
      </w:r>
    </w:p>
    <w:p>
      <w:pPr>
        <w:spacing w:after="160"/>
      </w:pPr>
      <w:r>
        <w:rPr>
          <w:rFonts w:ascii="Open Sans" w:hAnsi="Open Sans"/>
          <w:b w:val="0"/>
          <w:i w:val="0"/>
          <w:color w:val="59595B"/>
          <w:sz w:val="22"/>
        </w:rPr>
        <w:t>CrowdStrike Falcon is the EDR (Endpoint Detection and Response) layer. Falcon's behavioral AI inspects every process, network connection, and file operation on your endpoints in real time and stops identified threats before they can execute. On top of the AI, CrowdStrike's Falcon Overwatch managed-threat-hunting team — the same elite NOC that protects Fortune 500s and government agencies — watches your environment 24×7 looking for the kind of slow, low-and-slow adversary tradecraft that automated detection alone can miss. Overwatch hunters reach out directly when they see something that needs immediate action.</w:t>
      </w:r>
    </w:p>
    <w:p>
      <w:pPr>
        <w:spacing w:after="160"/>
      </w:pPr>
      <w:r>
        <w:rPr>
          <w:rFonts w:ascii="Open Sans" w:hAnsi="Open Sans"/>
          <w:b/>
          <w:i w:val="0"/>
          <w:color w:val="1A1A2E"/>
          <w:sz w:val="24"/>
        </w:rPr>
        <w:t>Why both? Defense in depth.</w:t>
      </w:r>
    </w:p>
    <w:p>
      <w:pPr>
        <w:spacing w:after="160"/>
      </w:pPr>
      <w:r>
        <w:rPr>
          <w:rFonts w:ascii="Open Sans" w:hAnsi="Open Sans"/>
          <w:b w:val="0"/>
          <w:i w:val="0"/>
          <w:color w:val="59595B"/>
          <w:sz w:val="22"/>
        </w:rPr>
        <w:t>Huntress and CrowdStrike are deliberately complementary. Huntress is tuned for the SMB and mid-market threat landscape — phishing-driven footholds, persistence tradecraft, credential theft, and the kinds of attacks that target managed-service customers. CrowdStrike's Falcon is industry-leading nation-state-grade EDR with the broadest telemetry collection and the most mature threat-intel feed in the market. They use different detection styles, different telemetry sources, and different threat-intelligence pipelines.</w:t>
      </w:r>
    </w:p>
    <w:p>
      <w:pPr>
        <w:spacing w:after="160"/>
      </w:pPr>
      <w:r>
        <w:rPr>
          <w:rFonts w:ascii="Open Sans" w:hAnsi="Open Sans"/>
          <w:b w:val="0"/>
          <w:i w:val="0"/>
          <w:color w:val="59595B"/>
          <w:sz w:val="22"/>
        </w:rPr>
        <w:t>Running them together gives your endpoints two independent sets of expert eyes — Huntress's SOC and CrowdStrike's Overwatch team — both watching 24×7. If one platform misses something, the other is extremely likely to catch it. This redundant, layered approach is the configuration Technijian recommends as best-in-class endpoint protection for clients who can't afford a security incident.</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provides 24x7 managed detection and response (MDR) on top of the Huntress security platform. Activity captured here reflects data pulled directly from the Huntress API for your tenant. Endpoint inventory is a point-in-time snapshot taken at report generation; incident, signal, and report data are filtered to the calendar month above.</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