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Patch Management Activity</w:t>
      </w:r>
    </w:p>
    <w:p>
      <w:pPr>
        <w:spacing w:after="120"/>
        <w:jc w:val="center"/>
      </w:pPr>
      <w:r>
        <w:rPr>
          <w:rFonts w:ascii="Open Sans" w:hAnsi="Open Sans"/>
          <w:b w:val="0"/>
          <w:i w:val="0"/>
          <w:color w:val="59595B"/>
          <w:sz w:val="32"/>
        </w:rPr>
        <w:t>ORX — January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491</w:t>
            </w:r>
          </w:p>
          <w:p>
            <w:pPr>
              <w:spacing w:before="0" w:after="240"/>
              <w:jc w:val="center"/>
            </w:pPr>
            <w:r>
              <w:rPr>
                <w:rFonts w:ascii="Open Sans" w:hAnsi="Open Sans"/>
                <w:b w:val="0"/>
                <w:i w:val="0"/>
                <w:color w:val="59595B"/>
                <w:sz w:val="20"/>
              </w:rPr>
              <w:t>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74</w:t>
            </w:r>
          </w:p>
          <w:p>
            <w:pPr>
              <w:spacing w:before="0" w:after="240"/>
              <w:jc w:val="center"/>
            </w:pPr>
            <w:r>
              <w:rPr>
                <w:rFonts w:ascii="Open Sans" w:hAnsi="Open Sans"/>
                <w:b w:val="0"/>
                <w:i w:val="0"/>
                <w:color w:val="59595B"/>
                <w:sz w:val="20"/>
              </w:rPr>
              <w:t>Machines patched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Critical 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Hands-on remediations</w:t>
            </w:r>
          </w:p>
        </w:tc>
      </w:tr>
    </w:tbl>
    <w:p>
      <w:pPr>
        <w:spacing w:after="160"/>
      </w:pPr>
      <w:r>
        <w:rPr>
          <w:rFonts w:ascii="Open Sans" w:hAnsi="Open Sans"/>
          <w:b w:val="0"/>
          <w:i w:val="0"/>
          <w:color w:val="59595B"/>
          <w:sz w:val="22"/>
        </w:rPr>
        <w:t>During January 2026, Technijian deployed 491 patches across 74 ORX endpoints — 491 via the automated patch pipeline and 0 delivered hands-on by Technijian's tech team. 0 of those addressed Critical-severity vulnerabilities. The automated patch infrastructure ran on schedule, and any endpoints that needed extra attention were picked up by our techs and installed manually within the same window.</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 Window</w:t>
            </w:r>
          </w:p>
        </w:tc>
      </w:tr>
    </w:tbl>
    <w:p>
      <w:pPr>
        <w:spacing w:after="160"/>
      </w:pPr>
      <w:r>
        <w:rPr>
          <w:rFonts w:ascii="Open Sans" w:hAnsi="Open Sans"/>
          <w:b w:val="0"/>
          <w:i w:val="0"/>
          <w:color w:val="59595B"/>
          <w:sz w:val="22"/>
        </w:rPr>
        <w:t>ORX's Automated Patch Deployment (APD) tasks in Endpoint Central are configured as follows. Times are in the deployment template's configured timezone.</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Task</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Template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Window</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Weeks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 Patch Management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 Deployment Policy</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01:00 – 04:00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Wed</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every week</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 Patch Management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 Deployment Policy</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01:00 – 04:00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every week</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Per-Machine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Machine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Total Installed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Succeeded</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Errored</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WKORX66</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ORX-DC-TS-04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WKORX-10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WKORX70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WKORX-09</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LPORX02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WKORX72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JRMED07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Margaret</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WKORX-08</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OXPTEST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WKORX15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WKORX65</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WKORX32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WKORX49</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JRMED10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LPJRM01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WKORX59</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JRMED08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WKORX36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WKORX30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ORX-HQ-WINEDGE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ORX-DC-FS-01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ORX-DC-FS-02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ORX-DC-TS-03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WKORX35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ORX-DC-SQL-02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OXPLIVE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WKORX45</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WKORX37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ORX-HQ-LPT-01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ORX-DC-AD-04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ORX-DC-APP-04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ORX-DC-AD-03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ORX-DC-SQL-03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ORX-DC-IIS1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ORX-DC-SQL-01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WKORX21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ORX-DC-APP-01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ORX-DC-OPSPRB</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ORX-DC-IIS2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LPORX03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ORX-DC-3CX-01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Severity Breakdown</w:t>
            </w:r>
          </w:p>
        </w:tc>
      </w:tr>
    </w:tbl>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Installed</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of total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Critical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0.0%</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Important</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110</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22.2%</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Moderate</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34</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84</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17.0%</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Unspecified</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267</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53.9%</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Vendor Breakdown</w:t>
            </w:r>
          </w:p>
        </w:tc>
      </w:tr>
    </w:tbl>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Vendor</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Installed</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of total</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364</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73.5%</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Intel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6.5%</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MailStore Software GmbH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4.8%</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VMware, Inc.</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 Corporation</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Zoom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Dell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Andrea Vacondio</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0.8%</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Notepad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0.8%</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Mozilla</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0.6%</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Oracle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0.4%</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Realtek</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0.4%</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Advanced Micro Devices</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0.2%</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Citrix Systems, Inc.</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0.2%</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KLCP</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0.2%</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Automated Patch Deployments</w:t>
            </w:r>
          </w:p>
        </w:tc>
      </w:tr>
    </w:tbl>
    <w:p>
      <w:pPr>
        <w:spacing w:after="160"/>
      </w:pPr>
      <w:r>
        <w:rPr>
          <w:rFonts w:ascii="Open Sans" w:hAnsi="Open Sans"/>
          <w:b w:val="0"/>
          <w:i w:val="0"/>
          <w:color w:val="59595B"/>
          <w:sz w:val="22"/>
        </w:rPr>
        <w:t>Showing the top 25 of 62 unique patches deployed this month by the automated patch pipeline, ranked by number of endpoints that received each patch.</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windowsdesktop-runtime-8.0.23-win-x64.exe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Office365_installer_19530.20184B_currentx64.exe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Office365_installer_19530.20144B_currentx64.exe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29</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Office365_installer_19530.20138B_currentx64.exe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27</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windows11.0-kb5078127-x64-25H2_win11.msu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MicrosoftEdgeWebView2RuntimeInstallerX64_144.0.3719.82.exe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windows11.0-kb5077744-x64-25H2_win11.msu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MailStoreOutlookAddinSetup-26.1.0.23845.msi</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windows11.0-kb5078127-x64-24H2_win11.msu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windows11.0-kb5077744-x64-24H2_win11.msu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Office365_installer_19530.20144_currentx64.exe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Office365_installer_19530.20138_currentx64.exe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windows10.0-kb5078136-x64-2022.msu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Office365_installer_19530.20184_currentx64.exe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VMware-tools-13.0.10-25056151-x64.exe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ZoomInstallerFull_6.7.2.26346_64.exe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228b3e8a-0c81-49ef-a079-7d4627944b0e_59a950f8b5a12ebe92767065bc0a7b6ddd843bd7_PCI_VEN_8086_DEV_A780.cab</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windows11.0-kb5074109-x64-25H2_win11.msu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windows11.0-kb5074109-x64-24H2_win11.msu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228b3e8a-0c81-49ef-a079-7d4627944b0e_59a950f8b5a12ebe92767065bc0a7b6ddd843bd7_PCI_VEN_8086_DEV_4680.cab</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windows10.0-kb5073457-x64-2022.msu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aspnetcore-runtime-8.0.23-win-x64.exe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RemoteDesktop_1.2.6930_x64.msi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windowsdesktop-runtime-8.0.23-win-x86.exe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VC_redist.x64__14.50.35719.0.exe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Manual Installations by Technijian</w:t>
            </w:r>
          </w:p>
        </w:tc>
      </w:tr>
    </w:tbl>
    <w:tbl>
      <w:tblPr>
        <w:tblW w:type="auto" w:w="0"/>
        <w:tblLook w:firstColumn="1" w:firstRow="1" w:lastColumn="0" w:lastRow="0" w:noHBand="0" w:noVBand="1" w:val="04A0"/>
      </w:tblPr>
      <w:tblGrid>
        <w:gridCol w:w="9360"/>
      </w:tblGrid>
      <w:tr>
        <w:tc>
          <w:tcPr>
            <w:tcW w:type="dxa" w:w="9360"/>
            <w:shd w:val="clear" w:color="auto" w:fill="E9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scheduled patches were deployed cleanly by the automated pipeline — no hands-on installation by Technijian's tech team was required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Year-to-Date Patch Coverage</w:t>
            </w:r>
          </w:p>
        </w:tc>
      </w:tr>
    </w:tbl>
    <w:p>
      <w:pPr>
        <w:spacing w:after="160"/>
      </w:pPr>
      <w:r>
        <w:rPr>
          <w:rFonts w:ascii="Open Sans" w:hAnsi="Open Sans"/>
          <w:b w:val="0"/>
          <w:i w:val="0"/>
          <w:color w:val="59595B"/>
          <w:sz w:val="22"/>
        </w:rPr>
        <w:t>Cumulative 2026 patch deployment totals through January 2026, month by month. The running totals show Technijian's protection compounding across the calendar year.</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Month</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Deployed</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Critical Patches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 Patched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YTD Total</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January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496</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496</w:t>
            </w:r>
          </w:p>
        </w:tc>
      </w:tr>
    </w:tbl>
    <w:p>
      <w:pPr>
        <w:spacing w:after="160"/>
      </w:pPr>
      <w:r>
        <w:rPr>
          <w:rFonts w:ascii="Open Sans" w:hAnsi="Open Sans"/>
          <w:b/>
          <w:i w:val="0"/>
          <w:color w:val="1A1A2E"/>
          <w:sz w:val="22"/>
        </w:rPr>
        <w:t>Through January 2026, Technijian has deployed 496 patches year-to-date — including 0 Critical-severity vulnerabilities closed.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Deployed 491 security and feature patches </w:t>
      </w:r>
      <w:r>
        <w:rPr>
          <w:rFonts w:ascii="Open Sans" w:hAnsi="Open Sans"/>
          <w:b w:val="0"/>
          <w:i w:val="0"/>
          <w:color w:val="59595B"/>
          <w:sz w:val="22"/>
        </w:rPr>
        <w:t>across 74 of your endpoints during January 2026, keeping your fleet aligned with vendor security baselines.</w:t>
      </w:r>
    </w:p>
    <w:p>
      <w:pPr>
        <w:pStyle w:val="ListBullet"/>
        <w:spacing w:after="80"/>
      </w:pPr>
      <w:r>
        <w:rPr>
          <w:rFonts w:ascii="Open Sans" w:hAnsi="Open Sans"/>
          <w:b/>
          <w:i w:val="0"/>
          <w:color w:val="1A1A2E"/>
          <w:sz w:val="22"/>
        </w:rPr>
        <w:t xml:space="preserve">Closed 110 Important-severity vulnerabilities </w:t>
      </w:r>
      <w:r>
        <w:rPr>
          <w:rFonts w:ascii="Open Sans" w:hAnsi="Open Sans"/>
          <w:b w:val="0"/>
          <w:i w:val="0"/>
          <w:color w:val="59595B"/>
          <w:sz w:val="22"/>
        </w:rPr>
        <w:t>as part of the same deployment cycle.</w:t>
      </w:r>
    </w:p>
    <w:p>
      <w:pPr>
        <w:pStyle w:val="ListBullet"/>
        <w:spacing w:after="80"/>
      </w:pPr>
      <w:r>
        <w:rPr>
          <w:rFonts w:ascii="Open Sans" w:hAnsi="Open Sans"/>
          <w:b/>
          <w:i w:val="0"/>
          <w:color w:val="1A1A2E"/>
          <w:sz w:val="22"/>
        </w:rPr>
        <w:t xml:space="preserve">Coordinated patches across 15 different software vendors </w:t>
      </w:r>
      <w:r>
        <w:rPr>
          <w:rFonts w:ascii="Open Sans" w:hAnsi="Open Sans"/>
          <w:b w:val="0"/>
          <w:i w:val="0"/>
          <w:color w:val="59595B"/>
          <w:sz w:val="22"/>
        </w:rPr>
        <w:t>(Microsoft, Adobe, browser makers, and others) so your team doesn't have to track each vendor's release calendar.</w:t>
      </w:r>
    </w:p>
    <w:p>
      <w:pPr>
        <w:pStyle w:val="ListBullet"/>
        <w:spacing w:after="80"/>
      </w:pPr>
      <w:r>
        <w:rPr>
          <w:rFonts w:ascii="Open Sans" w:hAnsi="Open Sans"/>
          <w:b/>
          <w:i w:val="0"/>
          <w:color w:val="1A1A2E"/>
          <w:sz w:val="22"/>
        </w:rPr>
        <w:t xml:space="preserve">Maintained the scheduled patch window: </w:t>
      </w:r>
      <w:r>
        <w:rPr>
          <w:rFonts w:ascii="Open Sans" w:hAnsi="Open Sans"/>
          <w:b w:val="0"/>
          <w:i w:val="0"/>
          <w:color w:val="59595B"/>
          <w:sz w:val="22"/>
        </w:rPr>
        <w:t>01:00-04:00 on Sun (every week), 01:00-04:00 on Wed (every week). Endpoints powered on during the window received their patches with no user interaction required.</w:t>
      </w:r>
    </w:p>
    <w:p>
      <w:pPr>
        <w:pStyle w:val="ListBullet"/>
        <w:spacing w:after="80"/>
      </w:pPr>
      <w:r>
        <w:rPr>
          <w:rFonts w:ascii="Open Sans" w:hAnsi="Open Sans"/>
          <w:b/>
          <w:i w:val="0"/>
          <w:color w:val="1A1A2E"/>
          <w:sz w:val="22"/>
        </w:rPr>
        <w:t xml:space="preserve">Monitored the patch infrastructure 24×7: </w:t>
      </w:r>
      <w:r>
        <w:rPr>
          <w:rFonts w:ascii="Open Sans" w:hAnsi="Open Sans"/>
          <w:b w:val="0"/>
          <w:i w:val="0"/>
          <w:color w:val="59595B"/>
          <w:sz w:val="22"/>
        </w:rPr>
        <w:t>patch scan health, deployment status, distribution server connectivity, and endpoint check-in were all under continuous monitoring throughout the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ManageEngine announced no major platform changes this month. Routine detection-content updates and sensor improvements continued to roll out automatically. Technijian tracks ManageEngine's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Healthcare. Based on that classification, the data Technijian's stack is helping protect is most likely characterized as: PHI.</w:t>
      </w:r>
    </w:p>
    <w:p>
      <w:pPr>
        <w:spacing w:after="160"/>
      </w:pPr>
      <w:r>
        <w:rPr>
          <w:rFonts w:ascii="Open Sans" w:hAnsi="Open Sans"/>
          <w:b w:val="0"/>
          <w:i w:val="0"/>
          <w:color w:val="59595B"/>
          <w:sz w:val="21"/>
        </w:rPr>
        <w:t>All endpoints handle Protected Health Information (PHI). HIPAA Security Rule (45 CFR §164.302-318) requires administrative, physical, and technical safeguards. The HITECH Act extends breach-notification and audit obligations. California CMIA (Civil Code §56) adds state-specific patient confidentiality rules.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HIPAA: </w:t>
      </w:r>
      <w:r>
        <w:rPr>
          <w:rFonts w:ascii="Open Sans" w:hAnsi="Open Sans"/>
          <w:b w:val="0"/>
          <w:i w:val="0"/>
          <w:color w:val="59595B"/>
          <w:sz w:val="22"/>
        </w:rPr>
        <w:t>endpoint detection &amp; response (Huntress + CrowdStrike), patch management (Endpoint Central), access auditing, and 24x7 incident response satisfy the technical safeguard requirements of 45 CFR §164.312 (access control, audit controls, integrity, transmission security).</w:t>
      </w:r>
    </w:p>
    <w:p>
      <w:pPr>
        <w:pStyle w:val="ListBullet"/>
        <w:spacing w:after="80"/>
      </w:pPr>
      <w:r>
        <w:rPr>
          <w:rFonts w:ascii="Open Sans" w:hAnsi="Open Sans"/>
          <w:b/>
          <w:i w:val="0"/>
          <w:color w:val="1A1A2E"/>
          <w:sz w:val="22"/>
        </w:rPr>
        <w:t xml:space="preserve">HITECH: </w:t>
      </w:r>
      <w:r>
        <w:rPr>
          <w:rFonts w:ascii="Open Sans" w:hAnsi="Open Sans"/>
          <w:b w:val="0"/>
          <w:i w:val="0"/>
          <w:color w:val="59595B"/>
          <w:sz w:val="22"/>
        </w:rPr>
        <w:t>automated detection of suspicious access events and Technijian's documented incident-response process keeps the breach-notification clock from running silently — any potential PHI exposure is investigated and timestamped within hours.</w:t>
      </w:r>
    </w:p>
    <w:p>
      <w:pPr>
        <w:pStyle w:val="ListBullet"/>
        <w:spacing w:after="80"/>
      </w:pPr>
      <w:r>
        <w:rPr>
          <w:rFonts w:ascii="Open Sans" w:hAnsi="Open Sans"/>
          <w:b/>
          <w:i w:val="0"/>
          <w:color w:val="1A1A2E"/>
          <w:sz w:val="22"/>
        </w:rPr>
        <w:t xml:space="preserve">California CMIA: </w:t>
      </w:r>
      <w:r>
        <w:rPr>
          <w:rFonts w:ascii="Open Sans" w:hAnsi="Open Sans"/>
          <w:b w:val="0"/>
          <w:i w:val="0"/>
          <w:color w:val="59595B"/>
          <w:sz w:val="22"/>
        </w:rPr>
        <w:t>the same access-auditing and detection pipeline that supports HIPAA also covers California's stricter CMIA confidentiality requirements for medical information.</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Verify Wake-on-LAN is enabled fleet-wide: </w:t>
      </w:r>
      <w:r>
        <w:rPr>
          <w:rFonts w:ascii="Open Sans" w:hAnsi="Open Sans"/>
          <w:b w:val="0"/>
          <w:i w:val="0"/>
          <w:color w:val="59595B"/>
          <w:sz w:val="22"/>
        </w:rPr>
        <w:t>7 endpoint(s) received fewer patches than the fleet average this month, which often means the device was powered off during the patch window. Enabling WoL on these machines lets the pipeline reach them automatically during the next scheduled window.</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Technijian's ManageEngine Endpoint Central MSP server (myrmm.technijian.com) by the annual-client-review pipeline. Every figure is sourced live from the EC SQL backend at report-generation time; no manual data entry is involved.</w:t>
      </w:r>
    </w:p>
    <w:p>
      <w:pPr>
        <w:spacing w:after="160"/>
      </w:pPr>
      <w:r>
        <w:rPr>
          <w:rFonts w:ascii="Open Sans" w:hAnsi="Open Sans"/>
          <w:b w:val="0"/>
          <w:i w:val="0"/>
          <w:color w:val="59595B"/>
          <w:sz w:val="22"/>
        </w:rPr>
        <w:t>Report generated 2026-05-02 19:02 for client 'ORX' covering January 2026 (installations between the 1st and last day of the month, UTC).</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