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360"/>
      </w:tblGrid>
      <w:tr>
        <w:tc>
          <w:tcPr>
            <w:tcW w:type="dxa" w:w="9360"/>
            <w:shd w:val="clear" w:color="auto" w:fill="006DB6"/>
            <w:tcBorders>
              <w:top w:val="nil"/>
              <w:left w:val="nil"/>
              <w:bottom w:val="nil"/>
              <w:right w:val="nil"/>
              <w:insideH w:val="nil"/>
              <w:insideV w:val="nil"/>
            </w:tcBorders>
          </w:tcPr>
          <w:p>
            <w:pPr>
              <w:spacing w:before="0" w:after="0"/>
            </w:pPr>
            <w:r>
              <w:rPr>
                <w:sz w:val="12"/>
              </w:rPr>
            </w:r>
          </w:p>
        </w:tc>
      </w:tr>
    </w:tbl>
    <w:p/>
    <w:p/>
    <w:p/>
    <w:p>
      <w:pPr>
        <w:jc w:val="center"/>
      </w:pPr>
      <w:r>
        <w:drawing>
          <wp:inline xmlns:a="http://schemas.openxmlformats.org/drawingml/2006/main" xmlns:pic="http://schemas.openxmlformats.org/drawingml/2006/picture">
            <wp:extent cx="2743200" cy="57150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1"/>
                    <a:stretch>
                      <a:fillRect/>
                    </a:stretch>
                  </pic:blipFill>
                  <pic:spPr>
                    <a:xfrm>
                      <a:off x="0" y="0"/>
                      <a:ext cx="2743200" cy="571500"/>
                    </a:xfrm>
                    <a:prstGeom prst="rect"/>
                  </pic:spPr>
                </pic:pic>
              </a:graphicData>
            </a:graphic>
          </wp:inline>
        </w:drawing>
      </w:r>
    </w:p>
    <w:p/>
    <w:p/>
    <w:tbl>
      <w:tblPr>
        <w:tblW w:type="auto" w:w="0"/>
        <w:tblLayout w:type="fixed"/>
        <w:tblLook w:firstColumn="1" w:firstRow="1" w:lastColumn="0" w:lastRow="0" w:noHBand="0" w:noVBand="1" w:val="04A0"/>
      </w:tblPr>
      <w:tblGrid>
        <w:gridCol w:w="3120"/>
        <w:gridCol w:w="3120"/>
        <w:gridCol w:w="3120"/>
      </w:tblGrid>
      <w:tr>
        <w:tc>
          <w:tcPr>
            <w:tcW w:type="dxa" w:w="3528"/>
            <w:tcBorders>
              <w:top w:val="nil"/>
              <w:left w:val="nil"/>
              <w:bottom w:val="nil"/>
              <w:right w:val="nil"/>
              <w:insideH w:val="nil"/>
              <w:insideV w:val="nil"/>
            </w:tcBorders>
          </w:tcPr>
          <w:p/>
        </w:tc>
        <w:tc>
          <w:tcPr>
            <w:tcW w:type="dxa" w:w="2160"/>
            <w:tcBorders>
              <w:top w:val="nil"/>
              <w:left w:val="nil"/>
              <w:bottom w:val="nil"/>
              <w:right w:val="nil"/>
              <w:insideH w:val="nil"/>
              <w:insideV w:val="nil"/>
            </w:tcBorders>
            <w:shd w:val="clear" w:color="auto" w:fill="F67D4B"/>
          </w:tcPr>
          <w:p>
            <w:pPr>
              <w:spacing w:before="0" w:after="0"/>
            </w:pPr>
            <w:r>
              <w:rPr>
                <w:sz w:val="6"/>
              </w:rPr>
            </w:r>
          </w:p>
        </w:tc>
        <w:tc>
          <w:tcPr>
            <w:tcW w:type="dxa" w:w="3528"/>
            <w:tcBorders>
              <w:top w:val="nil"/>
              <w:left w:val="nil"/>
              <w:bottom w:val="nil"/>
              <w:right w:val="nil"/>
              <w:insideH w:val="nil"/>
              <w:insideV w:val="nil"/>
            </w:tcBorders>
          </w:tcPr>
          <w:p/>
        </w:tc>
      </w:tr>
    </w:tbl>
    <w:p/>
    <w:p>
      <w:pPr>
        <w:jc w:val="center"/>
      </w:pPr>
      <w:r>
        <w:rPr>
          <w:rFonts w:ascii="Open Sans" w:hAnsi="Open Sans"/>
          <w:b/>
          <w:i w:val="0"/>
          <w:color w:val="1A1A2E"/>
          <w:sz w:val="56"/>
        </w:rPr>
        <w:t>Patch Management Activity</w:t>
      </w:r>
    </w:p>
    <w:p>
      <w:pPr>
        <w:spacing w:after="120"/>
        <w:jc w:val="center"/>
      </w:pPr>
      <w:r>
        <w:rPr>
          <w:rFonts w:ascii="Open Sans" w:hAnsi="Open Sans"/>
          <w:b w:val="0"/>
          <w:i w:val="0"/>
          <w:color w:val="59595B"/>
          <w:sz w:val="32"/>
        </w:rPr>
        <w:t>RMG — February 2026</w:t>
      </w:r>
    </w:p>
    <w:p>
      <w:pPr>
        <w:jc w:val="center"/>
      </w:pPr>
      <w:r>
        <w:rPr>
          <w:rFonts w:ascii="Open Sans" w:hAnsi="Open Sans"/>
          <w:b w:val="0"/>
          <w:i w:val="0"/>
          <w:color w:val="59595B"/>
          <w:sz w:val="24"/>
        </w:rPr>
        <w:t>Generated 2026-05-02</w:t>
      </w:r>
    </w:p>
    <w:p/>
    <w:p/>
    <w:p/>
    <w:p/>
    <w:p/>
    <w:p/>
    <w:tbl>
      <w:tblPr>
        <w:tblW w:type="auto" w:w="0"/>
        <w:tblLook w:firstColumn="1" w:firstRow="1" w:lastColumn="0" w:lastRow="0" w:noHBand="0" w:noVBand="1" w:val="04A0"/>
      </w:tblPr>
      <w:tblGrid>
        <w:gridCol w:w="9360"/>
      </w:tblGrid>
      <w:tr>
        <w:tc>
          <w:tcPr>
            <w:tcW w:type="dxa" w:w="9360"/>
            <w:shd w:val="clear" w:color="auto" w:fill="F67D4B"/>
            <w:tcBorders>
              <w:top w:val="nil"/>
              <w:left w:val="nil"/>
              <w:bottom w:val="nil"/>
              <w:right w:val="nil"/>
              <w:insideH w:val="nil"/>
              <w:insideV w:val="nil"/>
            </w:tcBorders>
          </w:tcPr>
          <w:p>
            <w:pPr>
              <w:spacing w:before="0" w:after="0"/>
            </w:pPr>
            <w:r>
              <w:rPr>
                <w:sz w:val="12"/>
              </w:rPr>
            </w:r>
          </w:p>
        </w:tc>
      </w:tr>
    </w:tbl>
    <w:p>
      <w:pPr>
        <w:spacing w:before="160"/>
        <w:jc w:val="center"/>
      </w:pPr>
      <w:r>
        <w:rPr>
          <w:rFonts w:ascii="Open Sans" w:hAnsi="Open Sans"/>
          <w:b w:val="0"/>
          <w:i/>
          <w:color w:val="59595B"/>
          <w:sz w:val="18"/>
        </w:rPr>
        <w:t>CONFIDENTIAL — for internal Technijian and client use only.</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Executive Summary</w:t>
            </w:r>
          </w:p>
        </w:tc>
      </w:tr>
    </w:tbl>
    <w:tbl>
      <w:tblPr>
        <w:tblW w:type="auto" w:w="0"/>
        <w:tblLayout w:type="fixed"/>
        <w:tblLook w:firstColumn="1" w:firstRow="1" w:lastColumn="0" w:lastRow="0" w:noHBand="0" w:noVBand="1" w:val="04A0"/>
      </w:tblPr>
      <w:tblGrid>
        <w:gridCol w:w="2340"/>
        <w:gridCol w:w="2340"/>
        <w:gridCol w:w="2340"/>
        <w:gridCol w:w="2340"/>
      </w:tblGrid>
      <w:tr>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0</w:t>
            </w:r>
          </w:p>
          <w:p>
            <w:pPr>
              <w:spacing w:before="0" w:after="240"/>
              <w:jc w:val="center"/>
            </w:pPr>
            <w:r>
              <w:rPr>
                <w:rFonts w:ascii="Open Sans" w:hAnsi="Open Sans"/>
                <w:b w:val="0"/>
                <w:i w:val="0"/>
                <w:color w:val="59595B"/>
                <w:sz w:val="20"/>
              </w:rPr>
              <w:t>Patches deployed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1EAAC8"/>
                <w:sz w:val="48"/>
              </w:rPr>
              <w:t>0</w:t>
            </w:r>
          </w:p>
          <w:p>
            <w:pPr>
              <w:spacing w:before="0" w:after="240"/>
              <w:jc w:val="center"/>
            </w:pPr>
            <w:r>
              <w:rPr>
                <w:rFonts w:ascii="Open Sans" w:hAnsi="Open Sans"/>
                <w:b w:val="0"/>
                <w:i w:val="0"/>
                <w:color w:val="59595B"/>
                <w:sz w:val="20"/>
              </w:rPr>
              <w:t>Machines patched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0</w:t>
            </w:r>
          </w:p>
          <w:p>
            <w:pPr>
              <w:spacing w:before="0" w:after="240"/>
              <w:jc w:val="center"/>
            </w:pPr>
            <w:r>
              <w:rPr>
                <w:rFonts w:ascii="Open Sans" w:hAnsi="Open Sans"/>
                <w:b w:val="0"/>
                <w:i w:val="0"/>
                <w:color w:val="59595B"/>
                <w:sz w:val="20"/>
              </w:rPr>
              <w:t>Critical patches deployed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28A745"/>
                <w:sz w:val="48"/>
              </w:rPr>
              <w:t>0</w:t>
            </w:r>
          </w:p>
          <w:p>
            <w:pPr>
              <w:spacing w:before="0" w:after="240"/>
              <w:jc w:val="center"/>
            </w:pPr>
            <w:r>
              <w:rPr>
                <w:rFonts w:ascii="Open Sans" w:hAnsi="Open Sans"/>
                <w:b w:val="0"/>
                <w:i w:val="0"/>
                <w:color w:val="59595B"/>
                <w:sz w:val="20"/>
              </w:rPr>
              <w:t>Hands-on remediations</w:t>
            </w:r>
          </w:p>
        </w:tc>
      </w:tr>
    </w:tbl>
    <w:tbl>
      <w:tblPr>
        <w:tblW w:type="auto" w:w="0"/>
        <w:tblLook w:firstColumn="1" w:firstRow="1" w:lastColumn="0" w:lastRow="0" w:noHBand="0" w:noVBand="1" w:val="04A0"/>
      </w:tblPr>
      <w:tblGrid>
        <w:gridCol w:w="9360"/>
      </w:tblGrid>
      <w:tr>
        <w:tc>
          <w:tcPr>
            <w:tcW w:type="dxa" w:w="9360"/>
            <w:shd w:val="clear" w:color="auto" w:fill="FEF3EE"/>
            <w:tcBorders>
              <w:top w:val="single" w:sz="12" w:color="F67D4B"/>
              <w:left w:val="single" w:sz="12" w:color="F67D4B"/>
              <w:bottom w:val="single" w:sz="12" w:color="F67D4B"/>
              <w:right w:val="single" w:sz="12" w:color="F67D4B"/>
            </w:tcBorders>
          </w:tcPr>
          <w:p>
            <w:pPr>
              <w:spacing w:before="120" w:after="120"/>
            </w:pPr>
            <w:r>
              <w:rPr>
                <w:rFonts w:ascii="Open Sans" w:hAnsi="Open Sans"/>
                <w:b w:val="0"/>
                <w:i w:val="0"/>
                <w:color w:val="1A1A2E"/>
                <w:sz w:val="22"/>
              </w:rPr>
              <w:t>There were no patches scheduled for deployment to RMG endpoints during February 2026. This is expected for months with light vendor release activity. The patch scanning and deployment infrastructure remained operational throughout the period; the next scheduled window will deploy any newly-released patches that apply to your fleet.</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Patch Window</w:t>
            </w:r>
          </w:p>
        </w:tc>
      </w:tr>
    </w:tbl>
    <w:tbl>
      <w:tblPr>
        <w:tblW w:type="auto" w:w="0"/>
        <w:tblLook w:firstColumn="1" w:firstRow="1" w:lastColumn="0" w:lastRow="0" w:noHBand="0" w:noVBand="1" w:val="04A0"/>
      </w:tblPr>
      <w:tblGrid>
        <w:gridCol w:w="9360"/>
      </w:tblGrid>
      <w:tr>
        <w:tc>
          <w:tcPr>
            <w:tcW w:type="dxa" w:w="9360"/>
            <w:shd w:val="clear" w:color="auto" w:fill="E5F6FA"/>
            <w:tcBorders>
              <w:top w:val="single" w:sz="12" w:color="1EAAC8"/>
              <w:left w:val="single" w:sz="12" w:color="1EAAC8"/>
              <w:bottom w:val="single" w:sz="12" w:color="1EAAC8"/>
              <w:right w:val="single" w:sz="12" w:color="1EAAC8"/>
            </w:tcBorders>
          </w:tcPr>
          <w:p>
            <w:pPr>
              <w:spacing w:before="120" w:after="120"/>
            </w:pPr>
            <w:r>
              <w:rPr>
                <w:rFonts w:ascii="Open Sans" w:hAnsi="Open Sans"/>
                <w:b w:val="0"/>
                <w:i w:val="0"/>
                <w:color w:val="1A1A2E"/>
                <w:sz w:val="22"/>
              </w:rPr>
              <w:t>Patches for RMG are deployed on-demand by Technijian rather than on a recurring automated schedule. See the Automated Patch Deployments section for the patches applied this month.</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Per-Machine Summary</w:t>
            </w:r>
          </w:p>
        </w:tc>
      </w:tr>
    </w:tbl>
    <w:p>
      <w:pPr>
        <w:spacing w:after="160"/>
      </w:pPr>
      <w:r>
        <w:rPr>
          <w:rFonts w:ascii="Open Sans" w:hAnsi="Open Sans"/>
          <w:b w:val="0"/>
          <w:i w:val="0"/>
          <w:color w:val="59595B"/>
          <w:sz w:val="22"/>
        </w:rPr>
        <w:t>No machines received patch installs this month.</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Severity Breakdown</w:t>
            </w:r>
          </w:p>
        </w:tc>
      </w:tr>
    </w:tbl>
    <w:p>
      <w:pPr>
        <w:spacing w:after="160"/>
      </w:pPr>
      <w:r>
        <w:rPr>
          <w:rFonts w:ascii="Open Sans" w:hAnsi="Open Sans"/>
          <w:b w:val="0"/>
          <w:i w:val="0"/>
          <w:color w:val="59595B"/>
          <w:sz w:val="22"/>
        </w:rPr>
        <w:t>No installs to categorize this month.</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Vendor Breakdown</w:t>
            </w:r>
          </w:p>
        </w:tc>
      </w:tr>
    </w:tbl>
    <w:p>
      <w:pPr>
        <w:spacing w:after="160"/>
      </w:pPr>
      <w:r>
        <w:rPr>
          <w:rFonts w:ascii="Open Sans" w:hAnsi="Open Sans"/>
          <w:b w:val="0"/>
          <w:i w:val="0"/>
          <w:color w:val="59595B"/>
          <w:sz w:val="22"/>
        </w:rPr>
        <w:t>No installs to categorize this month.</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Automated Patch Deployments</w:t>
            </w:r>
          </w:p>
        </w:tc>
      </w:tr>
    </w:tbl>
    <w:p>
      <w:pPr>
        <w:spacing w:after="160"/>
      </w:pPr>
      <w:r>
        <w:rPr>
          <w:rFonts w:ascii="Open Sans" w:hAnsi="Open Sans"/>
          <w:b w:val="0"/>
          <w:i w:val="0"/>
          <w:color w:val="59595B"/>
          <w:sz w:val="22"/>
        </w:rPr>
        <w:t>No patches were released by vendors that applied to this client's endpoints during this month. The automated patch scanning ran on schedule throughout the period.</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Manual Installations by Technijian</w:t>
            </w:r>
          </w:p>
        </w:tc>
      </w:tr>
    </w:tbl>
    <w:tbl>
      <w:tblPr>
        <w:tblW w:type="auto" w:w="0"/>
        <w:tblLook w:firstColumn="1" w:firstRow="1" w:lastColumn="0" w:lastRow="0" w:noHBand="0" w:noVBand="1" w:val="04A0"/>
      </w:tblPr>
      <w:tblGrid>
        <w:gridCol w:w="9360"/>
      </w:tblGrid>
      <w:tr>
        <w:tc>
          <w:tcPr>
            <w:tcW w:type="dxa" w:w="9360"/>
            <w:shd w:val="clear" w:color="auto" w:fill="E9F7EE"/>
            <w:tcBorders>
              <w:top w:val="single" w:sz="12" w:color="28A745"/>
              <w:left w:val="single" w:sz="12" w:color="28A745"/>
              <w:bottom w:val="single" w:sz="12" w:color="28A745"/>
              <w:right w:val="single" w:sz="12" w:color="28A745"/>
            </w:tcBorders>
          </w:tcPr>
          <w:p>
            <w:pPr>
              <w:spacing w:before="120" w:after="120"/>
            </w:pPr>
            <w:r>
              <w:rPr>
                <w:rFonts w:ascii="Open Sans" w:hAnsi="Open Sans"/>
                <w:b w:val="0"/>
                <w:i w:val="0"/>
                <w:color w:val="1A1A2E"/>
                <w:sz w:val="22"/>
              </w:rPr>
              <w:t>All scheduled patches were deployed cleanly by the automated pipeline — no hands-on installation by Technijian's tech team was required this month.</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Year-to-Date Patch Coverage</w:t>
            </w:r>
          </w:p>
        </w:tc>
      </w:tr>
    </w:tbl>
    <w:p>
      <w:pPr>
        <w:spacing w:after="160"/>
      </w:pPr>
      <w:r>
        <w:rPr>
          <w:rFonts w:ascii="Open Sans" w:hAnsi="Open Sans"/>
          <w:b w:val="0"/>
          <w:i w:val="0"/>
          <w:color w:val="59595B"/>
          <w:sz w:val="22"/>
        </w:rPr>
        <w:t>Year-to-date totals will populate as automated patch deployments accumulate during the year.</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What Technijian Did For You</w:t>
            </w:r>
          </w:p>
        </w:tc>
      </w:tr>
    </w:tbl>
    <w:p>
      <w:pPr>
        <w:pStyle w:val="ListBullet"/>
        <w:spacing w:after="80"/>
      </w:pPr>
      <w:r>
        <w:rPr>
          <w:rFonts w:ascii="Open Sans" w:hAnsi="Open Sans"/>
          <w:b/>
          <w:i w:val="0"/>
          <w:color w:val="1A1A2E"/>
          <w:sz w:val="22"/>
        </w:rPr>
        <w:t xml:space="preserve">Monitored the patch infrastructure 24×7: </w:t>
      </w:r>
      <w:r>
        <w:rPr>
          <w:rFonts w:ascii="Open Sans" w:hAnsi="Open Sans"/>
          <w:b w:val="0"/>
          <w:i w:val="0"/>
          <w:color w:val="59595B"/>
          <w:sz w:val="22"/>
        </w:rPr>
        <w:t>patch scan health, deployment status, distribution server connectivity, and endpoint check-in were all under continuous monitoring throughout the month.</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Industry News &amp; Vendor Innovations</w:t>
            </w:r>
          </w:p>
        </w:tc>
      </w:tr>
    </w:tbl>
    <w:p>
      <w:pPr>
        <w:spacing w:after="160"/>
      </w:pPr>
      <w:r>
        <w:rPr>
          <w:rFonts w:ascii="Open Sans" w:hAnsi="Open Sans"/>
          <w:b w:val="0"/>
          <w:i w:val="0"/>
          <w:color w:val="59595B"/>
          <w:sz w:val="22"/>
        </w:rPr>
        <w:t>ManageEngine announced no major platform changes this month. Routine detection-content updates and sensor improvements continued to roll out automatically. Technijian tracks ManageEngine's release notes monthly so future updates land in this section as they're published.</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Compliance Alignment</w:t>
            </w:r>
          </w:p>
        </w:tc>
      </w:tr>
    </w:tbl>
    <w:p>
      <w:pPr>
        <w:spacing w:after="160"/>
      </w:pPr>
      <w:r>
        <w:rPr>
          <w:rFonts w:ascii="Open Sans" w:hAnsi="Open Sans"/>
          <w:b w:val="0"/>
          <w:i w:val="0"/>
          <w:color w:val="59595B"/>
          <w:sz w:val="22"/>
        </w:rPr>
        <w:t>This client's industry classification is General Business. Based on that classification, the data Technijian's stack is helping protect is most likely characterized as: Customer / employee PII.</w:t>
      </w:r>
    </w:p>
    <w:p>
      <w:pPr>
        <w:spacing w:after="160"/>
      </w:pPr>
      <w:r>
        <w:rPr>
          <w:rFonts w:ascii="Open Sans" w:hAnsi="Open Sans"/>
          <w:b w:val="0"/>
          <w:i w:val="0"/>
          <w:color w:val="59595B"/>
          <w:sz w:val="21"/>
        </w:rPr>
        <w:t>No clear industry signal in the client name — defaulting to general California business privacy law (CCPA) for any California-resident data the client processes. Tech can override the industry / compliance scope by editing this file.</w:t>
      </w:r>
    </w:p>
    <w:p>
      <w:pPr>
        <w:spacing w:after="160"/>
      </w:pPr>
      <w:r>
        <w:rPr>
          <w:rFonts w:ascii="Open Sans" w:hAnsi="Open Sans"/>
          <w:b/>
          <w:i w:val="0"/>
          <w:color w:val="1A1A2E"/>
          <w:sz w:val="22"/>
        </w:rPr>
        <w:t>How Technijian's monitoring stack supports each framework:</w:t>
      </w:r>
    </w:p>
    <w:p>
      <w:pPr>
        <w:pStyle w:val="ListBullet"/>
        <w:spacing w:after="80"/>
      </w:pPr>
      <w:r>
        <w:rPr>
          <w:rFonts w:ascii="Open Sans" w:hAnsi="Open Sans"/>
          <w:b/>
          <w:i w:val="0"/>
          <w:color w:val="1A1A2E"/>
          <w:sz w:val="22"/>
        </w:rPr>
        <w:t xml:space="preserve">California CCPA: </w:t>
      </w:r>
      <w:r>
        <w:rPr>
          <w:rFonts w:ascii="Open Sans" w:hAnsi="Open Sans"/>
          <w:b w:val="0"/>
          <w:i w:val="0"/>
          <w:color w:val="59595B"/>
          <w:sz w:val="22"/>
        </w:rPr>
        <w:t>breach-detection and incident-response capabilities support CCPA §1798.150 reasonable-security obligations and the 72-hour notification window for incidents involving California-resident PII.</w:t>
      </w:r>
    </w:p>
    <w:p>
      <w:pPr>
        <w:spacing w:after="160"/>
      </w:pPr>
      <w:r>
        <w:rPr>
          <w:rFonts w:ascii="Open Sans" w:hAnsi="Open Sans"/>
          <w:b w:val="0"/>
          <w:i w:val="0"/>
          <w:color w:val="59595B"/>
          <w:sz w:val="19"/>
        </w:rPr>
        <w:t>This classification was generated automatically from the client's name and contact-domain signals. If the industry or compliance scope shown here doesn't match your operations, please reply to this report and we'll update the classification — Technijian's team can also produce a deeper compliance-posture report on request.</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Recommendations</w:t>
            </w:r>
          </w:p>
        </w:tc>
      </w:tr>
    </w:tbl>
    <w:p>
      <w:pPr>
        <w:pStyle w:val="ListBullet"/>
        <w:spacing w:after="80"/>
      </w:pPr>
      <w:r>
        <w:rPr>
          <w:rFonts w:ascii="Open Sans" w:hAnsi="Open Sans"/>
          <w:b/>
          <w:i w:val="0"/>
          <w:color w:val="1A1A2E"/>
          <w:sz w:val="22"/>
        </w:rPr>
        <w:t xml:space="preserve">Move to an automated patch schedule: </w:t>
      </w:r>
      <w:r>
        <w:rPr>
          <w:rFonts w:ascii="Open Sans" w:hAnsi="Open Sans"/>
          <w:b w:val="0"/>
          <w:i w:val="0"/>
          <w:color w:val="59595B"/>
          <w:sz w:val="22"/>
        </w:rPr>
        <w:t>your endpoints are currently patched on-demand. Moving to a recurring weekly window (typical: Friday/Saturday evenings) would shrink the time-to-patch on critical vulnerabilities and reduce the manual coordination needed each month.</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About This Report</w:t>
            </w:r>
          </w:p>
        </w:tc>
      </w:tr>
    </w:tbl>
    <w:p>
      <w:pPr>
        <w:spacing w:after="160"/>
      </w:pPr>
      <w:r>
        <w:rPr>
          <w:rFonts w:ascii="Open Sans" w:hAnsi="Open Sans"/>
          <w:b w:val="0"/>
          <w:i w:val="0"/>
          <w:color w:val="59595B"/>
          <w:sz w:val="22"/>
        </w:rPr>
        <w:t>This report is generated automatically from Technijian's ManageEngine Endpoint Central MSP server (myrmm.technijian.com) by the annual-client-review pipeline. Every figure is sourced live from the EC SQL backend at report-generation time; no manual data entry is involved.</w:t>
      </w:r>
    </w:p>
    <w:p>
      <w:pPr>
        <w:spacing w:after="160"/>
      </w:pPr>
      <w:r>
        <w:rPr>
          <w:rFonts w:ascii="Open Sans" w:hAnsi="Open Sans"/>
          <w:b w:val="0"/>
          <w:i w:val="0"/>
          <w:color w:val="59595B"/>
          <w:sz w:val="22"/>
        </w:rPr>
        <w:t>Report generated 2026-05-02 19:02 for client 'RMG' covering February 2026 (installations between the 1st and last day of the month, UTC).</w:t>
      </w:r>
    </w:p>
    <w:p>
      <w:pPr>
        <w:spacing w:after="160"/>
      </w:pPr>
      <w:r>
        <w:rPr>
          <w:rFonts w:ascii="Open Sans" w:hAnsi="Open Sans"/>
          <w:b w:val="0"/>
          <w:i w:val="0"/>
          <w:color w:val="59595B"/>
          <w:sz w:val="22"/>
        </w:rPr>
        <w:t>For questions about any item in this report, or to request a different reporting cadence, email support@technijian.com.</w:t>
      </w:r>
    </w:p>
    <w:sectPr w:rsidR="00FC693F" w:rsidRPr="0006063C" w:rsidSect="00034616">
      <w:headerReference w:type="default" r:id="rId9"/>
      <w:footerReference w:type="default" r:id="rId10"/>
      <w:pgSz w:w="12240" w:h="15840"/>
      <w:pgMar w:top="1440"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Open Sans" w:hAnsi="Open Sans"/>
        <w:b w:val="0"/>
        <w:i w:val="0"/>
        <w:color w:val="59595B"/>
        <w:sz w:val="18"/>
      </w:rPr>
      <w:t>Technijian  |  18 Technology Dr., Ste 141, Irvine, CA 92618  |  949.379.8500  |  technijian.com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1554480" cy="32385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
                  <a:stretch>
                    <a:fillRect/>
                  </a:stretch>
                </pic:blipFill>
                <pic:spPr>
                  <a:xfrm>
                    <a:off x="0" y="0"/>
                    <a:ext cx="1554480" cy="32385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Open Sans" w:hAnsi="Open Sans"/>
      <w:color w:val="59595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