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SAS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54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February 2026, Technijian deployed 54 patches across 6 SAS endpoints — 54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SAS's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SAS Patch Management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SAS - Deployment task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MattW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RyansWin11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Matyas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Kevin-Maahs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ChadMorris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KevinT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21.1%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21.1%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57.9%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57.9%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12.3%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8.8%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7.0%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5.3%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Mozilla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3.5%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Advanced Micro Devices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3.5%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ExpressVPN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1.8%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24 unique patches were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Office365_installer_19628.20214B_currentx64.exe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Office365_installer_19628.20166B_currentx64.exe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Office365_installer_19628.20204B_currentx64.exe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Office365_installer_19628.20150B_currentx64.exe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ZoomInstallerFull_6.7.5.30439_64.exe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VC_redist.x86__14.50.35719.0.exe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windows11.0-kb5074828-x64-ndp481-25H2_win11.msu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cisco-secure-client-win-5.1.13.177-core-vpn-predeploy-k9.msi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VC_redist.x64__14.50.35719.0.exe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408c162b-fd3d-42e0-b89d-64357487a90c_0110812791a66ac77ad2fb8adc336c7cb6885300.cab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windows11.0-kb5074831-x64-ndp481-24H2_win11.msu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windows11.0-kb5074105-x64-24H2_win11.msu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Office365_installer_19725.20126B_currentx64.exe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7ed4d21b-2cf4-468a-932b-a5fc5377317f_68febbb323940739605cc6667a95cdc438949c73_PCI__VEN_8086_DEV_4682.cab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3de915d8-3c4d-4341-a002-840a5d8be101_97f01c46b968a3faa7e4a342a4b1dfb88ed86bbe_PCI__VEN_8086_DEV_0D55.cab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7ed4d21b-2cf4-468a-932b-a5fc5377317f_68febbb323940739605cc6667a95cdc438949c73_PCI__VEN_8086_DEV_4692.cab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Setup_147.0.4_x64.exe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cisco-secure-client-win-5.1.13.177-dart-predeploy-k9.msi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Setup_147.0.3_x64.exe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ZoomInstallerFull_6.7.2.26346_64.exe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dotnet-runtime-6.0.36-win-x64.exe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windowsdesktop-runtime-6.0.36-win-x64.exe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windows11.0-kb5074105-x64-25H2_win11.msu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expressvpn_windows_12.104.0.128_release.exe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February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34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34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February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57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February 2026, Technijian has deployed 91 patches year-to-date — including 0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54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6 of your endpoints during February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12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8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Professional Services / Consulting. Based on that classification, the data Technijian's stack is helping protect is most likely characterized as: Client confidential / Internal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Consulting and professional-services firms typically inherit compliance scope from their customers — most large enterprise clients require SOC 2 Type II attestation as a condition of vendor onboarding. CCPA applies to California-resident data.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SOC 2 (if customer-required): </w:t>
      </w:r>
      <w:r>
        <w:rPr>
          <w:rFonts w:ascii="Open Sans" w:hAnsi="Open Sans"/>
          <w:b w:val="0"/>
          <w:i w:val="0"/>
          <w:color w:val="59595B"/>
          <w:sz w:val="22"/>
        </w:rPr>
        <w:t>the same continuous-monitoring artifacts (these monthly reports) are the evidence base most enterprise customers ask for during vendor SOC 2 reviews.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California CCPA: </w:t>
      </w:r>
      <w:r>
        <w:rPr>
          <w:rFonts w:ascii="Open Sans" w:hAnsi="Open Sans"/>
          <w:b w:val="0"/>
          <w:i w:val="0"/>
          <w:color w:val="59595B"/>
          <w:sz w:val="22"/>
        </w:rPr>
        <w:t>breach-detection and incident-response capabilities support CCPA §1798.150 reasonable-security obligations and the 72-hour notification window for incidents involving California-resident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19:02 for client 'SAS' covering February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