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SAS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69 patches across 6 SAS endpoints — 69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SAS's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SAS - Deployment task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Matyas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RyansWin11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MattW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Kevin-Maahs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ChadMorris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KevinT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5760e587-fbe9-44df-848d-66396345a29d_59301de6900bf78bf50d55983f6001d9f8d7e30f_PCI__VEN_8086_DEV_3E92.cab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91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172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69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6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20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7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Professional Services / Consulting. Based on that classification, the data Technijian's stack is helping protect is most likely characterized as: Client confidential / Internal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Consulting and professional-services firms typically inherit compliance scope from their customers — most large enterprise clients require SOC 2 Type II attestation as a condition of vendor onboarding. CCPA applies to California-resident data.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 (if customer-required): </w:t>
      </w:r>
      <w:r>
        <w:rPr>
          <w:rFonts w:ascii="Open Sans" w:hAnsi="Open Sans"/>
          <w:b w:val="0"/>
          <w:i w:val="0"/>
          <w:color w:val="59595B"/>
          <w:sz w:val="22"/>
        </w:rPr>
        <w:t>the same continuous-monitoring artifacts (these monthly reports) are the evidence base most enterprise customers ask for during vendor SOC 2 reviews.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'SAS'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