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Siege Consulting</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Siege Consulting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14</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9</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9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14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SPELLBOUND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 at 2026-02-12T23:15:33Z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SPELLBOUND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SPELLBOUND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SPELLBOUND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SPELLBOUND at 2026-02-23T15:55:51Z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SPELLBOUND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SPELLBOUND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 at 2026-02-10T09:42:59Z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14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SPELLBOUND</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SPELLBOUND</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SPELLBOUND</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Professional Services / Consulting. Based on that classification, the data Technijian's stack is helping protect is most likely characterized as: Client confidential / Internal PII.</w:t>
      </w:r>
    </w:p>
    <w:p>
      <w:pPr>
        <w:spacing w:after="160"/>
      </w:pPr>
      <w:r>
        <w:rPr>
          <w:rFonts w:ascii="Open Sans" w:hAnsi="Open Sans"/>
          <w:b w:val="0"/>
          <w:i w:val="0"/>
          <w:color w:val="59595B"/>
          <w:sz w:val="21"/>
        </w:rPr>
        <w:t>Consulting and professional-services firms typically inherit compliance scope from their customers — most large enterprise clients require SOC 2 Type II attestation as a condition of vendor onboarding. CCPA applies to California-resident data.</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(if customer-required): </w:t>
      </w:r>
      <w:r>
        <w:rPr>
          <w:rFonts w:ascii="Open Sans" w:hAnsi="Open Sans"/>
          <w:b w:val="0"/>
          <w:i w:val="0"/>
          <w:color w:val="59595B"/>
          <w:sz w:val="22"/>
        </w:rPr>
        <w:t>the same continuous-monitoring artifacts (these monthly reports) are the evidence base most enterprise customers ask for during vendor SOC 2 reviews.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