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Technijian-MSP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278</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47</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p>
      <w:pPr>
        <w:spacing w:after="160"/>
      </w:pPr>
      <w:r>
        <w:rPr>
          <w:rFonts w:ascii="Open Sans" w:hAnsi="Open Sans"/>
          <w:b w:val="0"/>
          <w:i w:val="0"/>
          <w:color w:val="59595B"/>
          <w:sz w:val="22"/>
        </w:rPr>
        <w:t>During February 2026, Technijian deployed 278 patches across 47 Technijian-MSP endpoints — 278 via the automated patch pipeline and 0 delivered hands-on by Technijian's tech team. 0 of those addressed Critical-severity vulnerabilities. The automated patch infrastructure ran on schedule, and any endpoints that needed extra attention were picked up by our techs and installed manually within the same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p>
      <w:pPr>
        <w:spacing w:after="160"/>
      </w:pPr>
      <w:r>
        <w:rPr>
          <w:rFonts w:ascii="Open Sans" w:hAnsi="Open Sans"/>
          <w:b w:val="0"/>
          <w:i w:val="0"/>
          <w:color w:val="59595B"/>
          <w:sz w:val="22"/>
        </w:rPr>
        <w:t>Technijian-MSP's Automated Patch Deployment (APD) tasks in Endpoint Central are configured as follows. Times are in the deployment template's configured timezone.</w:t>
      </w:r>
    </w:p>
    <w:tbl>
      <w:tblPr>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Task</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c>
          <w:tcPr>
            <w:tcW w:type="dxa" w:w="230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Template</w:t>
            </w:r>
          </w:p>
        </w:tc>
        <w:tc>
          <w:tcPr>
            <w:tcW w:type="dxa" w:w="158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Window</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Days</w:t>
            </w:r>
          </w:p>
        </w:tc>
        <w:tc>
          <w:tcPr>
            <w:tcW w:type="dxa" w:w="100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Weeks</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Technijian_Patches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SUSPENDED</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Technijian-MSP Default Deployment Policy</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 xml:space="preserve">Technijian Patch Managment task </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Technijian-MSP Default Deployment Policy</w:t>
            </w:r>
          </w:p>
        </w:tc>
        <w:tc>
          <w:tcPr>
            <w:tcW w:type="dxa" w:w="158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Fri, Sat</w:t>
            </w:r>
          </w:p>
        </w:tc>
        <w:tc>
          <w:tcPr>
            <w:tcW w:type="dxa" w:w="100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r>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Tech-India Dev VDI's</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RUNNING</w:t>
            </w:r>
          </w:p>
        </w:tc>
        <w:tc>
          <w:tcPr>
            <w:tcW w:type="dxa" w:w="230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 xml:space="preserve">India Dev VDI </w:t>
            </w:r>
          </w:p>
        </w:tc>
        <w:tc>
          <w:tcPr>
            <w:tcW w:type="dxa" w:w="158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20:59 – 02:00</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Sat, Sun</w:t>
            </w:r>
          </w:p>
        </w:tc>
        <w:tc>
          <w:tcPr>
            <w:tcW w:type="dxa" w:w="100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every week</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tbl>
      <w:tblPr>
        <w:tblW w:type="auto" w:w="0"/>
        <w:tblLayout w:type="fixed"/>
        <w:tblLook w:firstColumn="1" w:firstRow="1" w:lastColumn="0" w:lastRow="0" w:noHBand="0" w:noVBand="1" w:val="04A0"/>
      </w:tblPr>
      <w:tblGrid>
        <w:gridCol w:w="1872"/>
        <w:gridCol w:w="1872"/>
        <w:gridCol w:w="1872"/>
        <w:gridCol w:w="1872"/>
        <w:gridCol w:w="1872"/>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Machine</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Total Installed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Succeeded</w:t>
            </w:r>
          </w:p>
        </w:tc>
        <w:tc>
          <w:tcPr>
            <w:tcW w:type="dxa" w:w="115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Errored</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Status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VMTESTRDP3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TE-DC-BKP-VSPC-01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TE-HQ-LPT-AA</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TE-DC-VDIDEV-02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TE-HQ-LPT-REC</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TE-DC-TECHDC-01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TE-HQ-LPT-42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TE-DC-CHTAI-SQL</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TE-DC-N8N-01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9</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TE-DC-TL-SQL-01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TE-DC-MYRMM-SQL</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TE-DC-OPSDB-01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TE-DC-TL-IIS-01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TE-DC-VONE-01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TE-DC-MYARCHIVE</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TE-HQ-VBR-01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TE-CL-TECHDC-01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TE-CL-SQL-01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TE-DC-MYRMM</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TE-DC-SCHED-01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TE-DC-MD-APP-01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TE-DC-TL-SQL-02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TE-DC-TL-IIS</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(1)</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VMTECHMSS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TE-DC-MD-SQL-01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TE-DC-SFOSBKP</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Errored (2)</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TE-DC-OPS-01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TE-DC-TL-DC</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TE-DC-CHTAI-IIS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TE-DC-MD-APP-02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VMTECHMSCAS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TE-DC-CAM-01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TE-DC-RADSRV-01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TE-DC-TECHDC-02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TE-DC-TL-TFS</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TE-TEST-DC-01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TE-DC-CP-SQL-03</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TE-HQ-APP-QB</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TE-HQ-FS-02</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TE-CL-TECHDC-02</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115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Pass</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tbl>
      <w:tblPr>
        <w:tblW w:type="auto" w:w="0"/>
        <w:tblLayout w:type="fixed"/>
        <w:tblLook w:firstColumn="1" w:firstRow="1" w:lastColumn="0" w:lastRow="0" w:noHBand="0" w:noVBand="1" w:val="04A0"/>
      </w:tblPr>
      <w:tblGrid>
        <w:gridCol w:w="3120"/>
        <w:gridCol w:w="3120"/>
        <w:gridCol w:w="312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Severity</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Critical</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0.0%</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Important</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25</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8.7%</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Moderate</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76</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26.3%</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Low</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8.3%</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Unspecified</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164</w:t>
            </w:r>
          </w:p>
        </w:tc>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56.7%</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tbl>
      <w:tblPr>
        <w:tblW w:type="auto" w:w="0"/>
        <w:tblLayout w:type="fixed"/>
        <w:tblLook w:firstColumn="1" w:firstRow="1" w:lastColumn="0" w:lastRow="0" w:noHBand="0" w:noVBand="1" w:val="04A0"/>
      </w:tblPr>
      <w:tblGrid>
        <w:gridCol w:w="3120"/>
        <w:gridCol w:w="3120"/>
        <w:gridCol w:w="3120"/>
      </w:tblGrid>
      <w:tr>
        <w:tc>
          <w:tcPr>
            <w:tcW w:type="dxa" w:w="36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Vendor</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Installed</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 of total</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246</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85.1%</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Notepad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PostgreSQL Global Development Group</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 Revo Group, Ltd.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1.4%</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VMware, Inc.</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Mozilla</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Zoom</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 Corporation</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Node.js Foundation</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Cloudflare,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Adobe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Igor Pavlov</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TeamViewer</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FileZilla Project</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0.7%</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Tim Kosse</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Tenable, Inc.</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r>
        <w:tc>
          <w:tcPr>
            <w:tcW w:type="dxa" w:w="36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IcoFX</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0.3%</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Showing the top 25 of 80 unique patches deployed this month by the automated patch pipeline, ranked by number of endpoints that received each patch.</w:t>
      </w:r>
    </w:p>
    <w:tbl>
      <w:tblPr>
        <w:tblW w:type="auto" w:w="0"/>
        <w:tblLayout w:type="fixed"/>
        <w:tblLook w:firstColumn="1" w:firstRow="1" w:lastColumn="0" w:lastRow="0" w:noHBand="0" w:noVBand="1" w:val="04A0"/>
      </w:tblPr>
      <w:tblGrid>
        <w:gridCol w:w="4680"/>
        <w:gridCol w:w="4680"/>
      </w:tblGrid>
      <w:tr>
        <w:tc>
          <w:tcPr>
            <w:tcW w:type="dxa" w:w="720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windows10.0-kb5078136-x64-2022.msu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MicrosoftEdgeWebView2RuntimeInstallerX64_145.0.3800.65.exe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22</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windows10.0-kb5075906-x64-2022.msu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vsta_2019_setup_ENU_16.0.35907.exe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MicrosoftEdgeWebView2RuntimeInstallerX64_145.0.3800.82.exe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MicrosoftEdgeWebView2RuntimeInstallerX64_145.0.3800.70.exe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11</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MicrosoftEdgeWebView2RuntimeInstallerX64_144.0.3719.115.exe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10</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microsoftedgeenterprise_144.0.3719.115_x64.msi</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Windows10.0-kb5066134-x64-ndp481-2022.msu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7</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Office365_installer_19628.20214B_currentx64.exe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Office365_installer_19628.20204B_currentx64.exe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SQLServer2022-KB5078297-x64.exe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windows11.0-kb5077241-x64-24H2_win11.msu</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windows11.0-kb5074831-x64-ndp481-24H2_win11.msu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Office365_installer_19725.20126B_currentx64.exe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Office365_installer_19628.20214_currentx64.exe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Office365_installer_19628.20204_currentx64.exe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windowsdesktop-runtime-8.0.24-win-x64.exe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Office365_installer_19628.20166B_currentx64.exe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windows11.0-kb5074105-x64-24H2_win11.msu</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5</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Office365_installer_19725.20126_currentx64.exe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revosetup_2.6.8.exe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microsoftedgeenterprise_145.0.3800.70_x64.msi</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dotnet-runtime-8.0.24-win-x64.exe</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720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aspnetcore-runtime-8.0.24-win-x64.exe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Cumulative 2026 patch deployment totals through February 2026, month by month. The running totals show Technijian's protection compounding across the calendar year.</w:t>
      </w:r>
    </w:p>
    <w:tbl>
      <w:tblPr>
        <w:tblW w:type="auto" w:w="0"/>
        <w:tblLayout w:type="fixed"/>
        <w:tblLook w:firstColumn="1" w:firstRow="1" w:lastColumn="0" w:lastRow="0" w:noHBand="0" w:noVBand="1" w:val="04A0"/>
      </w:tblPr>
      <w:tblGrid>
        <w:gridCol w:w="1872"/>
        <w:gridCol w:w="1872"/>
        <w:gridCol w:w="1872"/>
        <w:gridCol w:w="1872"/>
        <w:gridCol w:w="1872"/>
      </w:tblGrid>
      <w:tr>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Month</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Patches Deployed</w:t>
            </w:r>
          </w:p>
        </w:tc>
        <w:tc>
          <w:tcPr>
            <w:tcW w:type="dxa" w:w="172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Critical Patches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 Patched</w:t>
            </w:r>
          </w:p>
        </w:tc>
        <w:tc>
          <w:tcPr>
            <w:tcW w:type="dxa" w:w="144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YTD Total</w:t>
            </w:r>
          </w:p>
        </w:tc>
      </w:tr>
      <w:tr>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January</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353</w:t>
            </w:r>
          </w:p>
        </w:tc>
        <w:tc>
          <w:tcPr>
            <w:tcW w:type="dxa" w:w="172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48</w:t>
            </w:r>
          </w:p>
        </w:tc>
        <w:tc>
          <w:tcPr>
            <w:tcW w:type="dxa" w:w="144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353</w:t>
            </w:r>
          </w:p>
        </w:tc>
      </w:tr>
      <w:tr>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February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290</w:t>
            </w:r>
          </w:p>
        </w:tc>
        <w:tc>
          <w:tcPr>
            <w:tcW w:type="dxa" w:w="172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47</w:t>
            </w:r>
          </w:p>
        </w:tc>
        <w:tc>
          <w:tcPr>
            <w:tcW w:type="dxa" w:w="144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643</w:t>
            </w:r>
          </w:p>
        </w:tc>
      </w:tr>
    </w:tbl>
    <w:p>
      <w:pPr>
        <w:spacing w:after="160"/>
      </w:pPr>
      <w:r>
        <w:rPr>
          <w:rFonts w:ascii="Open Sans" w:hAnsi="Open Sans"/>
          <w:b/>
          <w:i w:val="0"/>
          <w:color w:val="1A1A2E"/>
          <w:sz w:val="22"/>
        </w:rPr>
        <w:t>Through February 2026, Technijian has deployed 643 patches year-to-date — including 0 Critical-severity vulnerabilities closed.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Deployed 278 security and feature patches </w:t>
      </w:r>
      <w:r>
        <w:rPr>
          <w:rFonts w:ascii="Open Sans" w:hAnsi="Open Sans"/>
          <w:b w:val="0"/>
          <w:i w:val="0"/>
          <w:color w:val="59595B"/>
          <w:sz w:val="22"/>
        </w:rPr>
        <w:t>across 47 of your endpoints during February 2026, keeping your fleet aligned with vendor security baselines.</w:t>
      </w:r>
    </w:p>
    <w:p>
      <w:pPr>
        <w:pStyle w:val="ListBullet"/>
        <w:spacing w:after="80"/>
      </w:pPr>
      <w:r>
        <w:rPr>
          <w:rFonts w:ascii="Open Sans" w:hAnsi="Open Sans"/>
          <w:b/>
          <w:i w:val="0"/>
          <w:color w:val="1A1A2E"/>
          <w:sz w:val="22"/>
        </w:rPr>
        <w:t xml:space="preserve">Closed 25 Important-severity vulnerabilities </w:t>
      </w:r>
      <w:r>
        <w:rPr>
          <w:rFonts w:ascii="Open Sans" w:hAnsi="Open Sans"/>
          <w:b w:val="0"/>
          <w:i w:val="0"/>
          <w:color w:val="59595B"/>
          <w:sz w:val="22"/>
        </w:rPr>
        <w:t>as part of the same deployment cycle.</w:t>
      </w:r>
    </w:p>
    <w:p>
      <w:pPr>
        <w:pStyle w:val="ListBullet"/>
        <w:spacing w:after="80"/>
      </w:pPr>
      <w:r>
        <w:rPr>
          <w:rFonts w:ascii="Open Sans" w:hAnsi="Open Sans"/>
          <w:b/>
          <w:i w:val="0"/>
          <w:color w:val="1A1A2E"/>
          <w:sz w:val="22"/>
        </w:rPr>
        <w:t xml:space="preserve">Coordinated patches across 17 different software vendors </w:t>
      </w:r>
      <w:r>
        <w:rPr>
          <w:rFonts w:ascii="Open Sans" w:hAnsi="Open Sans"/>
          <w:b w:val="0"/>
          <w:i w:val="0"/>
          <w:color w:val="59595B"/>
          <w:sz w:val="22"/>
        </w:rPr>
        <w:t>(Microsoft, Adobe, browser makers, and others) so your team doesn't have to track each vendor's release calendar.</w:t>
      </w:r>
    </w:p>
    <w:p>
      <w:pPr>
        <w:pStyle w:val="ListBullet"/>
        <w:spacing w:after="80"/>
      </w:pPr>
      <w:r>
        <w:rPr>
          <w:rFonts w:ascii="Open Sans" w:hAnsi="Open Sans"/>
          <w:b/>
          <w:i w:val="0"/>
          <w:color w:val="1A1A2E"/>
          <w:sz w:val="22"/>
        </w:rPr>
        <w:t xml:space="preserve">Maintained the scheduled patch window: </w:t>
      </w:r>
      <w:r>
        <w:rPr>
          <w:rFonts w:ascii="Open Sans" w:hAnsi="Open Sans"/>
          <w:b w:val="0"/>
          <w:i w:val="0"/>
          <w:color w:val="59595B"/>
          <w:sz w:val="22"/>
        </w:rPr>
        <w:t>20:59-02:00 on Fri,Sat (every week), 20:59-02:00 on Sat,Sun (every week). Endpoints powered on during the window received their patches with no user interaction required.</w:t>
      </w:r>
    </w:p>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Verify Wake-on-LAN is enabled fleet-wide: </w:t>
      </w:r>
      <w:r>
        <w:rPr>
          <w:rFonts w:ascii="Open Sans" w:hAnsi="Open Sans"/>
          <w:b w:val="0"/>
          <w:i w:val="0"/>
          <w:color w:val="59595B"/>
          <w:sz w:val="22"/>
        </w:rPr>
        <w:t>13 endpoint(s) received fewer patches than the fleet average this month, which often means the device was powered off during the patch window. Enabling WoL on these machines lets the pipeline reach them automatically during the next scheduled window.</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19:02 for client 'Technijian-MSP'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