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Via Auto Finance</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Via Auto Finance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52</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48</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28 endpoint(s) with Microsoft Defender or firewall in a non-protected state; 3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48 of 52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VAF-HQ-LT-23</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2026-03-19</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VAF-HQ-SUR-17</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VAF-HQ-LT-13</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VAF-DC-SFTP-02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VAF-DC-OPSPRB</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VAF-DC-3CX-01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VAF-HQ-LT-16</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VAF-DC-FS-02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VAF-DC-TSVDI-GI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VAF-DC-SQL-01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VAF-HQ-MCX-01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DESKTOP-I7CGJRV</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VAF-HQ-LT-25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VAF-HQ-WINEDGE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VAF-HQ-SUR-08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VAF-HQ-SUR-18</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VAF-HQ-LT-04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VAF-HQ-LT-14</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Automotive / Trucking. Based on that classification, the data Technijian's stack is helping protect is most likely characterized as: Customer PII / Financial.</w:t>
      </w:r>
    </w:p>
    <w:p>
      <w:pPr>
        <w:spacing w:after="160"/>
      </w:pPr>
      <w:r>
        <w:rPr>
          <w:rFonts w:ascii="Open Sans" w:hAnsi="Open Sans"/>
          <w:b w:val="0"/>
          <w:i w:val="0"/>
          <w:color w:val="59595B"/>
          <w:sz w:val="21"/>
        </w:rPr>
        <w:t>Auto dealers fall under the FTC Safeguards Rule for customer financial data; trucking falls under DOT regs. Both handle California-resident PII triggering CCPA obligations.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pStyle w:val="ListBullet"/>
        <w:spacing w:after="80"/>
      </w:pPr>
      <w:r>
        <w:rPr>
          <w:rFonts w:ascii="Open Sans" w:hAnsi="Open Sans"/>
          <w:b/>
          <w:i w:val="0"/>
          <w:color w:val="1A1A2E"/>
          <w:sz w:val="22"/>
        </w:rPr>
        <w:t xml:space="preserve">FTC Safeguards Rule (if dealer): </w:t>
      </w:r>
      <w:r>
        <w:rPr>
          <w:rFonts w:ascii="Open Sans" w:hAnsi="Open Sans"/>
          <w:b w:val="0"/>
          <w:i w:val="0"/>
          <w:color w:val="59595B"/>
          <w:sz w:val="22"/>
        </w:rPr>
        <w:t>the same security-program controls that cover GLBA also satisfy the FTC Safeguards Rule for non-bank financial institutions (including auto dealers).</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