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Vintage Group</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Vintage Group during April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1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2022 Standard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April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1 of 1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4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VG-DC-3CX-02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General Business. Based on that classification, the data Technijian's stack is helping protect is most likely characterized as: Customer / employee PII.</w:t>
      </w:r>
    </w:p>
    <w:p>
      <w:pPr>
        <w:spacing w:after="160"/>
      </w:pPr>
      <w:r>
        <w:rPr>
          <w:rFonts w:ascii="Open Sans" w:hAnsi="Open Sans"/>
          <w:b w:val="0"/>
          <w:i w:val="0"/>
          <w:color w:val="59595B"/>
          <w:sz w:val="21"/>
        </w:rPr>
        <w:t>No clear industry signal in the client name — defaulting to general California business privacy law (CCPA) for any California-resident data the client processes. Tech can override the industry / compliance scope by editing this file.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