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47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 at 2026-02-19T16:02:29Z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 at 2026-02-19T08:50:18Z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FilePathArgsAdware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2026-02-24T01:25:45Z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 at 2026-02-27T15:14:03Z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2026-02-13T18:35:54Z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2026-02-12T23:35:00Z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SuspiciousScript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2026-02-09T22:33:10Z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 at 2026-02-14T05:27:11Z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2026-02-06T12:16:16Z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47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version(7.33.20505.0)updated on machines MELSDESKTOP,MEGAN,DESKTOP-N6E84SS,DESKTOP-I7G1MM7 (handled by S. Sharma) — 0.9h of tech effort</w:t>
      </w:r>
    </w:p>
    <w:p>
      <w:pPr>
        <w:pStyle w:val="ListBullet"/>
        <w:spacing w:after="80"/>
      </w:pPr>
      <w:r>
        <w:rPr>
          <w:rFonts w:ascii="Open Sans" w:hAnsi="Open Sans"/>
          <w:b w:val="0"/>
          <w:i w:val="0"/>
          <w:color w:val="59595B"/>
          <w:sz w:val="22"/>
        </w:rPr>
        <w:t>Crowdstrike latest version(7.33.20505.0)updated on machines MELSDESKTOP,MEGAN,DESKTOP-N6E84SS,DESKTOP-I7G1MM7 — 0.9h on 2026-02-26</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