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Logged into the Huntress portal and reviewed the policies and security settings. All configurations were checked and verified (handled by R. Uniyal) — 0.6h of tech effort</w:t>
      </w:r>
    </w:p>
    <w:p>
      <w:pPr>
        <w:pStyle w:val="ListBullet"/>
        <w:spacing w:after="80"/>
      </w:pPr>
      <w:r>
        <w:rPr>
          <w:rFonts w:ascii="Open Sans" w:hAnsi="Open Sans"/>
          <w:b w:val="0"/>
          <w:i w:val="0"/>
          <w:color w:val="59595B"/>
          <w:sz w:val="22"/>
        </w:rPr>
        <w:t>Logged into the Huntress portal and reviewed the policies and security settings. All configurations were checked and verified — 0.6h on 2026-03-13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