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65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 at 2026-03-23T16:57:27Z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 at 2026-03-31T03:51:36Z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 at 2026-03-16T13:34:19Z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 at 2026-03-18T15:31:00Z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 at 2026-03-16T15:26:11Z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2026-03-10T18:49:16Z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 at 2026-03-11T17:33:35Z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updated 7.34.20610.0 on ,MSOC-L009,MSOC-L010 , MSOC-L011 &amp;  MSOC-L012 (handled by S. Kumar) — 1.0h of tech effort</w:t>
      </w:r>
    </w:p>
    <w:p>
      <w:pPr>
        <w:pStyle w:val="ListBullet"/>
        <w:spacing w:after="80"/>
      </w:pPr>
      <w:r>
        <w:rPr>
          <w:rFonts w:ascii="Open Sans" w:hAnsi="Open Sans"/>
          <w:b w:val="0"/>
          <w:i w:val="0"/>
          <w:color w:val="59595B"/>
          <w:sz w:val="22"/>
        </w:rPr>
        <w:t>Crowdstrike latest version updated 7.34.20610.0 on ,MSOC-L009,MSOC-L010 , MSOC-L011 &amp;  MSOC-L012 — 1.0h on 2026-03-12</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GenericMasqueradingDefenseEvasion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