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Setup Huntress SAT for phishing and training (handled by A. Bhardwaj) — 1.2h of tech effort</w:t>
      </w:r>
    </w:p>
    <w:p>
      <w:pPr>
        <w:pStyle w:val="ListBullet"/>
        <w:spacing w:after="80"/>
      </w:pPr>
      <w:r>
        <w:rPr>
          <w:rFonts w:ascii="Open Sans" w:hAnsi="Open Sans"/>
          <w:b w:val="0"/>
          <w:i w:val="0"/>
          <w:color w:val="59595B"/>
          <w:sz w:val="22"/>
        </w:rPr>
        <w:t>Setup Huntress SAT for phishing and training — 1.2h on 2026-02-19</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