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AFFG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AFFG endpoints during April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AFFG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April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February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March</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April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Pr>
        <w:spacing w:after="160"/>
      </w:pPr>
      <w:r>
        <w:rPr>
          <w:rFonts w:ascii="Open Sans" w:hAnsi="Open Sans"/>
          <w:b/>
          <w:i w:val="0"/>
          <w:color w:val="1A1A2E"/>
          <w:sz w:val="22"/>
        </w:rPr>
        <w:t>Through April 2026, Technijian has deployed 11 patches year-to-date — including 0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Financial Services. Based on that classification, the data Technijian's stack is helping protect is most likely characterized as: NPI / PCI.</w:t>
      </w:r>
    </w:p>
    <w:p>
      <w:pPr>
        <w:spacing w:after="160"/>
      </w:pPr>
      <w:r>
        <w:rPr>
          <w:rFonts w:ascii="Open Sans" w:hAnsi="Open Sans"/>
          <w:b w:val="0"/>
          <w:i w:val="0"/>
          <w:color w:val="59595B"/>
          <w:sz w:val="21"/>
        </w:rPr>
        <w:t>Financial-services clients handle non-public personal information (NPI) and payment data. GLBA Safeguards Rule requires a written information-security program. SOC 2 Type II is increasingly the de-facto standard for vendor diligence. PCI DSS applies wherever cards are accepted (including custodial fee processing).</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SOC 2: </w:t>
      </w:r>
      <w:r>
        <w:rPr>
          <w:rFonts w:ascii="Open Sans" w:hAnsi="Open Sans"/>
          <w:b w:val="0"/>
          <w:i w:val="0"/>
          <w:color w:val="59595B"/>
          <w:sz w:val="22"/>
        </w:rPr>
        <w:t>continuous monitoring, change tracking, patch evidence, and incident logs are produced monthly so SOC 2 Type II auditors can sample directly from the artifacts Technijian already generates.</w:t>
      </w:r>
    </w:p>
    <w:p>
      <w:pPr>
        <w:pStyle w:val="ListBullet"/>
        <w:spacing w:after="80"/>
      </w:pPr>
      <w:r>
        <w:rPr>
          <w:rFonts w:ascii="Open Sans" w:hAnsi="Open Sans"/>
          <w:b/>
          <w:i w:val="0"/>
          <w:color w:val="1A1A2E"/>
          <w:sz w:val="22"/>
        </w:rPr>
        <w:t xml:space="preserve">GLBA: </w:t>
      </w:r>
      <w:r>
        <w:rPr>
          <w:rFonts w:ascii="Open Sans" w:hAnsi="Open Sans"/>
          <w:b w:val="0"/>
          <w:i w:val="0"/>
          <w:color w:val="59595B"/>
          <w:sz w:val="22"/>
        </w:rPr>
        <w:t>endpoint protection plus role-based access enforcement help satisfy the GLBA Safeguards Rule's information-security program requirements (16 CFR §314).</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19:59 for client 'AFFG' covering April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