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ANI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117</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24</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February 2026, Technijian deployed 117 patches across 24 ANI endpoints — 117 via the automated patch pipeline and 0 delivered hands-on by Technijian's tech team. 0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ANI's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ANI_Patches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SUSPENDED</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ANI_Patches</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SUSPENDED</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Patch Management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Patch Management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(3)</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(2)</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VMANIWMS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ANI-HQ-SQL-01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ANI-HQ-WINEDGE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VMANIDC02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VMANIOPT1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ANI-HQ-OPSPRB-01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13.4%</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23.6%</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42.5%</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89</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70.1%</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Mozilla</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Adobe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Doist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Google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Notepad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PostgreSQL Global Development Group</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Igor Pavlov</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0.8%</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Showing the top 25 of 53 unique patches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windows11.0-kb5074828-x64-ndp481-25H2_win11.msu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windows11.0-kb5077241-x64-25H2_win11.msu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windowsdesktop-runtime-8.0.24-win-x64.exe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windows11.0-kb5077181-x64-25H2_win11.msu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windows11.0-kb5074105-x64-25H2_win11.msu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windows10.0-kb5075906-x64-2022.msu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ZoomInstallerFull_6.7.2.26346_64.exe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MicrosoftEdgeWebView2RuntimeInstallerX64_145.0.3800.65.exe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windows10.0-kb5075902-x64-2016.msu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MicrosoftEdgeWebView2RuntimeInstallerX64_145.0.3800.82.exe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windows10.0-kb5075999-x64-2016.msu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3de915d8-3c4d-4341-a002-840a5d8be101_97f01c46b968a3faa7e4a342a4b1dfb88ed86bbe_PCI__VEN_8086_DEV_15BC.cab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aspnetcore-runtime-8.0.24-win-x64.exe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TeamViewer_Setup_15.75.4.exe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googleearthprowin-7.3.7-x64.exe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Firefox Setup_148.0_x64.exe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npp.8.9.2.Installer.x64.exe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microsoftedgeenterprise_145.0.3800.82_x64.msi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AcroRdrDCUpd2500121208.msp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3de915d8-3c4d-4341-a002-840a5d8be101_97f01c46b968a3faa7e4a342a4b1dfb88ed86bbe_PCI__VEN_8086_DEV_15BB.cab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TeamViewer_Setup_15.74.5.exe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Todoist-win32-9.26.2-latest.exe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postgresql-15.17-1-windows-x64.exe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Office365_installer_19725.20126_currentx64.exe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Office2021_installer_16.0.19725.20126_retail_x64.exe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February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151</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February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282</w:t>
            </w:r>
          </w:p>
        </w:tc>
      </w:tr>
    </w:tbl>
    <w:p>
      <w:pPr>
        <w:spacing w:after="160"/>
      </w:pPr>
      <w:r>
        <w:rPr>
          <w:rFonts w:ascii="Open Sans" w:hAnsi="Open Sans"/>
          <w:b/>
          <w:i w:val="0"/>
          <w:color w:val="1A1A2E"/>
          <w:sz w:val="22"/>
        </w:rPr>
        <w:t>Through February 2026, Technijian has deployed 282 patches year-to-date — including 2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117 security and feature patches </w:t>
      </w:r>
      <w:r>
        <w:rPr>
          <w:rFonts w:ascii="Open Sans" w:hAnsi="Open Sans"/>
          <w:b w:val="0"/>
          <w:i w:val="0"/>
          <w:color w:val="59595B"/>
          <w:sz w:val="22"/>
        </w:rPr>
        <w:t>across 24 of your endpoints during February 2026, keeping your fleet aligned with vendor security baselines.</w:t>
      </w:r>
    </w:p>
    <w:p>
      <w:pPr>
        <w:pStyle w:val="ListBullet"/>
        <w:spacing w:after="80"/>
      </w:pPr>
      <w:r>
        <w:rPr>
          <w:rFonts w:ascii="Open Sans" w:hAnsi="Open Sans"/>
          <w:b/>
          <w:i w:val="0"/>
          <w:color w:val="1A1A2E"/>
          <w:sz w:val="22"/>
        </w:rPr>
        <w:t xml:space="preserve">Closed 17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13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20:59-02:00 on Fri,Sat (every week), 20:59-02:00 on Sat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Server ANI-HQ-OPSPRB-01,ANI-HQ-VONE,VMANIDC02,VMANIFS-01,VMANIFS-02,VMANIFS1 pending for reboot after APD (handled by S. Sharma) — 1.1h of tech effort</w:t>
      </w:r>
    </w:p>
    <w:p>
      <w:pPr>
        <w:pStyle w:val="ListBullet"/>
        <w:spacing w:after="80"/>
      </w:pPr>
      <w:r>
        <w:rPr>
          <w:rFonts w:ascii="Open Sans" w:hAnsi="Open Sans"/>
          <w:b w:val="0"/>
          <w:i w:val="0"/>
          <w:color w:val="59595B"/>
          <w:sz w:val="22"/>
        </w:rPr>
        <w:t>Windows Update (handled by R. Mohamed) — 0.5h of tech effort</w:t>
      </w:r>
    </w:p>
    <w:p>
      <w:pPr>
        <w:pStyle w:val="ListBullet"/>
        <w:spacing w:after="80"/>
      </w:pPr>
      <w:r>
        <w:rPr>
          <w:rFonts w:ascii="Open Sans" w:hAnsi="Open Sans"/>
          <w:b w:val="0"/>
          <w:i w:val="0"/>
          <w:color w:val="59595B"/>
          <w:sz w:val="22"/>
        </w:rPr>
        <w:t>ANI Servers pending for reboot after APD (handled by G. Kumar) — 0.8h of tech effort</w:t>
      </w:r>
    </w:p>
    <w:p>
      <w:pPr>
        <w:pStyle w:val="ListBullet"/>
        <w:spacing w:after="80"/>
      </w:pPr>
      <w:r>
        <w:rPr>
          <w:rFonts w:ascii="Open Sans" w:hAnsi="Open Sans"/>
          <w:b w:val="0"/>
          <w:i w:val="0"/>
          <w:color w:val="59595B"/>
          <w:sz w:val="22"/>
        </w:rPr>
        <w:t>ANI Servers pending for reboot &amp; updates after APD (handled by A. Saraf) — 1.0h of tech effort</w:t>
      </w:r>
    </w:p>
    <w:p>
      <w:pPr>
        <w:pStyle w:val="ListBullet"/>
        <w:spacing w:after="80"/>
      </w:pPr>
      <w:r>
        <w:rPr>
          <w:rFonts w:ascii="Open Sans" w:hAnsi="Open Sans"/>
          <w:b w:val="0"/>
          <w:i w:val="0"/>
          <w:color w:val="59595B"/>
          <w:sz w:val="22"/>
        </w:rPr>
        <w:t>Windows Update — 0.5h on 2026-02-09</w:t>
      </w:r>
    </w:p>
    <w:p>
      <w:pPr>
        <w:pStyle w:val="ListBullet"/>
        <w:spacing w:after="80"/>
      </w:pPr>
      <w:r>
        <w:rPr>
          <w:rFonts w:ascii="Open Sans" w:hAnsi="Open Sans"/>
          <w:b w:val="0"/>
          <w:i w:val="0"/>
          <w:color w:val="59595B"/>
          <w:sz w:val="22"/>
        </w:rPr>
        <w:t>Server ANI-HQ-OPSPRB-01,ANI-HQ-VONE,VMANIDC02,VMANIFS-01,VMANIFS-02,VMANIFS1 pending for reboot after APD — 1.1h on 2026-02-16</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Engineering / Manufacturing. Based on that classification, the data Technijian's stack is helping protect is most likely characterized as: Trade secrets / Customer PII.</w:t>
      </w:r>
    </w:p>
    <w:p>
      <w:pPr>
        <w:spacing w:after="160"/>
      </w:pPr>
      <w:r>
        <w:rPr>
          <w:rFonts w:ascii="Open Sans" w:hAnsi="Open Sans"/>
          <w:b w:val="0"/>
          <w:i w:val="0"/>
          <w:color w:val="59595B"/>
          <w:sz w:val="21"/>
        </w:rPr>
        <w:t>Engineering and manufacturing firms vary widely in compliance scope. Defense/aerospace work brings ITAR (export-controlled technical data) and CMMC (DoD contractor cybersecurity). Civilian manufacturing is typically governed by general privacy law and customer-imposed SOC 2 / NIST 800-171 requirements.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ITAR (if defense): </w:t>
      </w:r>
      <w:r>
        <w:rPr>
          <w:rFonts w:ascii="Open Sans" w:hAnsi="Open Sans"/>
          <w:b w:val="0"/>
          <w:i w:val="0"/>
          <w:color w:val="59595B"/>
          <w:sz w:val="22"/>
        </w:rPr>
        <w:t>endpoint controls and access logging help support ITAR §126 technical-data export controls when applicable to the customer's contract scope.</w:t>
      </w:r>
    </w:p>
    <w:p>
      <w:pPr>
        <w:pStyle w:val="ListBullet"/>
        <w:spacing w:after="80"/>
      </w:pPr>
      <w:r>
        <w:rPr>
          <w:rFonts w:ascii="Open Sans" w:hAnsi="Open Sans"/>
          <w:b/>
          <w:i w:val="0"/>
          <w:color w:val="1A1A2E"/>
          <w:sz w:val="22"/>
        </w:rPr>
        <w:t xml:space="preserve">CMMC (if DoD): </w:t>
      </w:r>
      <w:r>
        <w:rPr>
          <w:rFonts w:ascii="Open Sans" w:hAnsi="Open Sans"/>
          <w:b w:val="0"/>
          <w:i w:val="0"/>
          <w:color w:val="59595B"/>
          <w:sz w:val="22"/>
        </w:rPr>
        <w:t>Endpoint Central inventory, patch evidence, and EDR detection logs map to multiple CMMC Level 1 and Level 2 practices (AC, AU, CM, IR, SI domains).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7 endpoint(s) received fewer patches than the fleet average this month, which often means the device was powered off during the patch window. Enabling WoL on these machines lets the pipeline reach them automatically during the next scheduled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19:59 for client 'ANI' covering February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