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ANI:- Sophos Firewall (handled by S. Kumar) — 0.7h of tech effort</w:t>
      </w:r>
    </w:p>
    <w:p>
      <w:pPr>
        <w:pStyle w:val="ListBullet"/>
        <w:spacing w:after="80"/>
      </w:pPr>
      <w:r>
        <w:rPr>
          <w:rFonts w:ascii="Open Sans" w:hAnsi="Open Sans"/>
          <w:b w:val="0"/>
          <w:i w:val="0"/>
          <w:color w:val="59595B"/>
          <w:sz w:val="22"/>
        </w:rPr>
        <w:t>Performed Weekly Firewall Backup for ANI:- Sophos Firewall — 0.3h on 2026-04-05</w:t>
      </w:r>
    </w:p>
    <w:p>
      <w:pPr>
        <w:pStyle w:val="ListBullet"/>
        <w:spacing w:after="80"/>
      </w:pPr>
      <w:r>
        <w:rPr>
          <w:rFonts w:ascii="Open Sans" w:hAnsi="Open Sans"/>
          <w:b w:val="0"/>
          <w:i w:val="0"/>
          <w:color w:val="59595B"/>
          <w:sz w:val="22"/>
        </w:rPr>
        <w:t>Performed Weekly Firewall Backup for ANI:- Sophos Firewall — 0.3h on 2026-04-12</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'ANI'.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