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Apartment Association of Orange County</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Apartment Association of Orange County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8</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6</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5</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Huntress raised 5 incident report(s) and surfaced 3 signal(s) on your environment. Each one was reviewed by Technijian's security operations team and routed to the appropriate response track. The breakdown is below.</w:t>
      </w:r>
    </w:p>
    <w:p/>
    <w:p>
      <w:pPr>
        <w:spacing w:after="160"/>
      </w:pPr>
      <w:r>
        <w:rPr>
          <w:rFonts w:ascii="Open Sans" w:hAnsi="Open Sans"/>
          <w:b/>
          <w:i w:val="0"/>
          <w:color w:val="1A1A2E"/>
          <w:sz w:val="24"/>
        </w:rPr>
        <w:t>Incidents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Incident detail</w:t>
      </w:r>
    </w:p>
    <w:tbl>
      <w:tblPr>
        <w:tblW w:type="auto" w:w="0"/>
        <w:tblLayout w:type="fixed"/>
        <w:tblLook w:firstColumn="1" w:firstRow="1" w:lastColumn="0" w:lastRow="0" w:noHBand="0" w:noVBand="1" w:val="04A0"/>
      </w:tblPr>
      <w:tblGrid>
        <w:gridCol w:w="2340"/>
        <w:gridCol w:w="2340"/>
        <w:gridCol w:w="2340"/>
        <w:gridCol w:w="2340"/>
      </w:tblGrid>
      <w:tr>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48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Summary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AAOC-20 (AOC - Apartment Association of Orange County)</w:t>
            </w:r>
          </w:p>
        </w:tc>
      </w:tr>
      <w:tr>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48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AAOC-28 (AOC - Apartment Association of Orange County)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AAOC-20 (AOC - Apartment Association of Orange County)</w:t>
            </w:r>
          </w:p>
        </w:tc>
      </w:tr>
      <w:tr>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2025-11-06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48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AAOC-20 (AOC - Apartment Association of Orange County)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2025-07-08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AAOC-28 (AOC - Apartment Association of Orange County)</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6 of 8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3 signal(s) and actioned 5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Issue Resolved with Huntress for AAOC-28 Host Machine (handled by R. Uniyal) — 0.2h of tech effort</w:t>
      </w:r>
    </w:p>
    <w:p>
      <w:pPr>
        <w:pStyle w:val="ListBullet"/>
        <w:spacing w:after="80"/>
      </w:pPr>
      <w:r>
        <w:rPr>
          <w:rFonts w:ascii="Open Sans" w:hAnsi="Open Sans"/>
          <w:b w:val="0"/>
          <w:i w:val="0"/>
          <w:color w:val="59595B"/>
          <w:sz w:val="22"/>
        </w:rPr>
        <w:t>Huntress Agent updated with  Version 0.14.146 on AAOC-30, AAOC-24, AAOC-25, AAOC-28, AAOC-20 (handled by D. Bhardwaj) — 1.2h of tech effort</w:t>
      </w:r>
    </w:p>
    <w:p>
      <w:pPr>
        <w:pStyle w:val="ListBullet"/>
        <w:spacing w:after="80"/>
      </w:pPr>
      <w:r>
        <w:rPr>
          <w:rFonts w:ascii="Open Sans" w:hAnsi="Open Sans"/>
          <w:b w:val="0"/>
          <w:i w:val="0"/>
          <w:color w:val="59595B"/>
          <w:sz w:val="22"/>
        </w:rPr>
        <w:t>Huntress Low Incident | LOW - Incident on AAOC-20 (AOC - Apartment Association of Orange County) (handled by R. Uniyal) — 0.3h of tech effort</w:t>
      </w:r>
    </w:p>
    <w:p>
      <w:pPr>
        <w:pStyle w:val="ListBullet"/>
        <w:spacing w:after="80"/>
      </w:pPr>
      <w:r>
        <w:rPr>
          <w:rFonts w:ascii="Open Sans" w:hAnsi="Open Sans"/>
          <w:b w:val="0"/>
          <w:i w:val="0"/>
          <w:color w:val="59595B"/>
          <w:sz w:val="22"/>
        </w:rPr>
        <w:t>Re: Huntress Low Incident | LOW - Incident on AAOC-28 (AOC - Apartment Association of Orange County) (handled by R. Uniyal) — 0.3h of tech effort</w:t>
      </w:r>
    </w:p>
    <w:p>
      <w:pPr>
        <w:pStyle w:val="ListBullet"/>
        <w:spacing w:after="80"/>
      </w:pPr>
      <w:r>
        <w:rPr>
          <w:rFonts w:ascii="Open Sans" w:hAnsi="Open Sans"/>
          <w:b w:val="0"/>
          <w:i w:val="0"/>
          <w:color w:val="59595B"/>
          <w:sz w:val="22"/>
        </w:rPr>
        <w:t>Huntress Portal – Policies and Security Settings Review (handled by R. Uniyal) — 0.7h of tech effort</w:t>
      </w:r>
    </w:p>
    <w:p>
      <w:pPr>
        <w:pStyle w:val="ListBullet"/>
        <w:spacing w:after="80"/>
      </w:pPr>
      <w:r>
        <w:rPr>
          <w:rFonts w:ascii="Open Sans" w:hAnsi="Open Sans"/>
          <w:b w:val="0"/>
          <w:i w:val="0"/>
          <w:color w:val="59595B"/>
          <w:sz w:val="22"/>
        </w:rPr>
        <w:t>Huntress Portal – Policies and Security Settings Review — 0.7h on 2026-03-10</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Real Estate / Property Management. Based on that classification, the data Technijian's stack is helping protect is most likely characterized as: PCI / Resident PII.</w:t>
      </w:r>
    </w:p>
    <w:p>
      <w:pPr>
        <w:spacing w:after="160"/>
      </w:pPr>
      <w:r>
        <w:rPr>
          <w:rFonts w:ascii="Open Sans" w:hAnsi="Open Sans"/>
          <w:b w:val="0"/>
          <w:i w:val="0"/>
          <w:color w:val="59595B"/>
          <w:sz w:val="21"/>
        </w:rPr>
        <w:t>Property managers process resident payments (rent, deposits, fees), triggering PCI DSS scope. Fair Housing Act records, applicant/resident PII, and California CCPA obligations all apply. Some clients also process credit/background checks bringing FCRA into scope.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pStyle w:val="ListBullet"/>
        <w:spacing w:after="80"/>
      </w:pPr>
      <w:r>
        <w:rPr>
          <w:rFonts w:ascii="Open Sans" w:hAnsi="Open Sans"/>
          <w:b/>
          <w:i w:val="0"/>
          <w:color w:val="1A1A2E"/>
          <w:sz w:val="22"/>
        </w:rPr>
        <w:t xml:space="preserve">Fair Housing Act: </w:t>
      </w:r>
      <w:r>
        <w:rPr>
          <w:rFonts w:ascii="Open Sans" w:hAnsi="Open Sans"/>
          <w:b w:val="0"/>
          <w:i w:val="0"/>
          <w:color w:val="59595B"/>
          <w:sz w:val="22"/>
        </w:rPr>
        <w:t>audit logs around resident applicant data demonstrate the non-discrimination and recordkeeping controls the Fair Housing Act requires.</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