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Apartment Association of Orange County</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Apartment Association of Orange County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Huntress raised 3 incident report(s) and surfaced 3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AAOC-28 (AOC - Apartment Association of Orange County)</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AAOC-20 (AOC - Apartment Association of Orange County)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AAOC-ExecutiveDirector (AOC - Apartment Association of Orange County)</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3 signal(s) and actioned 3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0.14.162, replaced with Version 0.14.150 on AAOC-25, AAOC-28 (handled by D. Bhardwaj) — 0.5h of tech effort</w:t>
      </w:r>
    </w:p>
    <w:p>
      <w:pPr>
        <w:pStyle w:val="ListBullet"/>
        <w:spacing w:after="80"/>
      </w:pPr>
      <w:r>
        <w:rPr>
          <w:rFonts w:ascii="Open Sans" w:hAnsi="Open Sans"/>
          <w:b w:val="0"/>
          <w:i w:val="0"/>
          <w:color w:val="59595B"/>
          <w:sz w:val="22"/>
        </w:rPr>
        <w:t>Huntress Agent updated with Version 0.14.162, replaced with Version 0.14.150 on AAOC-25, AAOC-28 — 0.5h on 2026-04-13</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