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AOC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46 patches across 7 AOC endpoints — 46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AOC's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 Deployment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AAOC-Backup-LAP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AAOC-ExecutiveDirector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AAOC-LAP-DEBBIE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19.6%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67.4%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Oracle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VideoLAN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31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5f448083-ad9e-4e6c-bd98-d45323f49d62_1ccfe3dd5fb72e39ed86279f241698701184ceb4_PCI_VEN_8086_DEV_15B7.cab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windowsdesktop-runtime-6.0.36-win-x64.exe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Office365_installer_19628.20150B_currentx86.exe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jre-8u481-windows-i586.exe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Setup_147.0.1_x64.exe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vlc-3.0.23-win64.exe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Office365_installer_19530.20144B_currentx86.exe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47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46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7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10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Missing Patch Update on the AAOC-25,AAOC-24,AAOC-20 &amp; AAOC-ExecutiveDirector computers (handled by S. Kumar) — 0.9h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AAOC-LAP-DEBBIE : Manually patch update (cisco umbrella with latest version) (handled by S. Kumar Sharma)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AAOC-LAP-DEBBIE : Myrmm found missing, installed it (handled by S. Kumar Sharma) — 0.3h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updated 11.4.2528.28.W - AAOC-25 (handled by S. Sharma) — 0.2h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Debbie- Laptop showing offline in portals for more than 2 months — 0.3h on 2026-01-05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updated 11.4.2528.28.W - AAOC-25 — 0.2h on 2026-01-06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Real Estate / Property Management. Based on that classification, the data Technijian's stack is helping protect is most likely characterized as: PCI / 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Property managers process resident payments (rent, deposits, fees), triggering PCI DSS scope. Fair Housing Act records, applicant/resident PII, and California CCPA obligations all apply. Some clients also process credit/background checks bringing FCRA into scope.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Fair Housing Act: </w:t>
      </w:r>
      <w:r>
        <w:rPr>
          <w:rFonts w:ascii="Open Sans" w:hAnsi="Open Sans"/>
          <w:b w:val="0"/>
          <w:i w:val="0"/>
          <w:color w:val="59595B"/>
          <w:sz w:val="22"/>
        </w:rPr>
        <w:t>audit logs around resident applicant data demonstrate the non-discrimination and recordkeeping controls the Fair Housing Act requires.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19:59 for client 'AOC'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