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AOC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deployed 50 patches across 7 AOC endpoints — 50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AOC's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AOC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AOC Deployment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AAOC-28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AAOC-20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AAOC-24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AAOC-ExecutiveDirector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AAOC-Backup-LAP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AAOC-LAP-DEBBIE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AAOC-25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15.8%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28.1%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35.1%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45.6%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Canva Pty Ltd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1.8%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36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googlechromestandaloneenterprise_147.0.7727.117.msi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googlechromestandaloneenterprise_147.0.7727.102.msi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windowsdesktop-runtime-8.0.26-win-x64.exe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windows-kb890830-x64-v5.140.exe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googlechromestandaloneenterprise_147.0.7727.56.msi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AcrobatDCx64Upd2600121483.msp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googlechromestandaloneenterprise64_147.0.7727.102.msi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aspnetcore-runtime-8.0.26-win-x64.exe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Office365_installer_19822.20142B_currentx64.exe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AcroRdrDCUpd2600121483.msp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AcrobatDCUpd2600121483.msp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googlechromestandaloneenterprise64_147.0.7727.117.msi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Dell-Command-Update-Windows-Universal-Application_FGK9X_WIN64_5.7.0_A00.EXE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Office365_installer_19929.20090_currentx86.exe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Office365_installer_19929.20090B_currentx86.exe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AcroRdrDCUpd2600121431.msp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windowsdesktop-runtime-8.0.26-win-x86.exe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Office365_installer_19822.20182_currentx86.exe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Office365_installer_19822.20182B_currentx86.exe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April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103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74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177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April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238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April 2026, Technijian has deployed 238 patches year-to-date — including 1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50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7 of your endpoints during April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9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10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Missing patch installed on the AAOC-24, AAOC-20, and AAOC-28 (handled by S. Kumar) — 1.0h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Manage Engine Synchronization Issue for AOC Machine AAOC-24 and AAOC-25 (handled by S. Kumar) — 0.5h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ManageEngine Agent Version(11.5.2600.32.W updated on AAOC-28,AAOC-20,AAOC-25 (handled by R. Uniyal) — 0.8h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AAOC-Backup-LAP : Manually patch update as APD couldn't execute (handled by S. Kumar Sharma) — 0.5h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MyRMM Manage-Engine Latest version (11.5.2600.32.W) updated:- AAOC-25, AAOC-BACKUP-LAP (handled by Y. Kumar) — 0.6h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MyRMM Manage-Engine Latest version (11.5.2600.32.W) updated:- AAOC-20, AAOC-24, AAOC-LAP-DEBBIE, AAOC-28 (handled by Y. Kumar) — 1.0h of tech effort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Real Estate / Property Management. Based on that classification, the data Technijian's stack is helping protect is most likely characterized as: PCI / 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Property managers process resident payments (rent, deposits, fees), triggering PCI DSS scope. Fair Housing Act records, applicant/resident PII, and California CCPA obligations all apply. Some clients also process credit/background checks bringing FCRA into scope.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PCI DSS: </w:t>
      </w:r>
      <w:r>
        <w:rPr>
          <w:rFonts w:ascii="Open Sans" w:hAnsi="Open Sans"/>
          <w:b w:val="0"/>
          <w:i w:val="0"/>
          <w:color w:val="59595B"/>
          <w:sz w:val="22"/>
        </w:rPr>
        <w:t>system patching, anti-malware, and continuous vulnerability monitoring satisfy PCI DSS 4.0 Requirements 5, 6, 11, and 12. Technijian's monthly reports are the audit evidence.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Fair Housing Act: </w:t>
      </w:r>
      <w:r>
        <w:rPr>
          <w:rFonts w:ascii="Open Sans" w:hAnsi="Open Sans"/>
          <w:b w:val="0"/>
          <w:i w:val="0"/>
          <w:color w:val="59595B"/>
          <w:sz w:val="22"/>
        </w:rPr>
        <w:t>audit logs around resident applicant data demonstrate the non-discrimination and recordkeeping controls the Fair Housing Act requires.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19:59 for client 'AOC'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