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B2I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91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91 patches across 14 B2I endpoints — 91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B2I's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DESKTOP-7QV89JS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victoria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PONO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Jared-Friedman-PC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B2I-3CX-LOANER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LAPTOP-CO9S1K5I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KeithBrewer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Laptop-JonM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kIKI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B2I-HQ-WINEDGE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LPT-DEREK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Icaza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idea-PC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Parallels International GmbH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QNAP Systems Inc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Lenovo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52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RASClient-x64-21.1.26542.msi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microsoftedgeenterprise_145.0.3800.70_x64.msi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Setup_147.0.4_x64.exe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QNAPQsyncClientWindows-6.0.0.2522.exe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RASClient-x64-21.0.26296.msi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NVIDIA_app_v11.0.6.383.exe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Windows10.0-kb5072653-x64_c2f56817f6ca39322bce94e7ea2c554cfa71abcd.msu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7z2600-x64.exe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102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175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91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14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15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MyRMM Manage Engine agent upgraded to the latest version 11.5.2600.19 on KEITHBREWER, PONO, VICTORIA, IDEA-PC (handled by G. Kumar) — 2.0h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MyRMM Manage Engine agent upgraded to the latest version 11.5.2600.19 on  B2I-HQ-WINEDGE,  B2I-3CX-LOANER,LPT-DEREK, Laptop-JonM (handled by G. Kumar) — 2.0h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update filed and missing patches on the computer B2I-HQ-WINEDGE,Jared-Friedman-PC,victoria (handled by S. Kumar) — 1.2h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Victoria Missing Patches Deployed (handled by R. Uniyal)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LAPTOP-CO9S1K5I Missing Patches Deployed (handled by R. Uniyal) — 0.4h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System Status Check for Patching (handled by S. Kumar) — 0.4h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Financial Services. Based on that classification, the data Technijian's stack is helping protect is most likely characterized as: NPI / PCI.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Financial-services clients handle non-public personal information (NPI) and payment data. GLBA Safeguards Rule requires a written information-security program. SOC 2 Type II is increasingly the de-facto standard for vendor diligence. PCI DSS applies wherever cards are accepted (including custodial fee processing).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2: </w:t>
      </w:r>
      <w:r>
        <w:rPr>
          <w:rFonts w:ascii="Open Sans" w:hAnsi="Open Sans"/>
          <w:b w:val="0"/>
          <w:i w:val="0"/>
          <w:color w:val="59595B"/>
          <w:sz w:val="22"/>
        </w:rPr>
        <w:t>continuous monitoring, change tracking, patch evidence, and incident logs are produced monthly so SOC 2 Type II auditors can sample directly from the artifacts Technijian already generates.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19:59 for client 'B2I'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